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eastAsia="zh-CN"/>
        </w:rPr>
      </w:pPr>
    </w:p>
    <w:p>
      <w:pPr>
        <w:pStyle w:val="2"/>
        <w:rPr>
          <w:rFonts w:hint="eastAsia"/>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eastAsia="方正小标宋简体" w:cs="Times New Roman"/>
          <w:color w:val="auto"/>
          <w:kern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kern w:val="0"/>
          <w:sz w:val="44"/>
          <w:szCs w:val="44"/>
          <w:lang w:eastAsia="zh-CN"/>
        </w:rPr>
      </w:pPr>
      <w:r>
        <w:rPr>
          <w:rFonts w:hint="eastAsia" w:eastAsia="方正小标宋简体" w:cs="Times New Roman"/>
          <w:color w:val="auto"/>
          <w:kern w:val="0"/>
          <w:sz w:val="44"/>
          <w:szCs w:val="44"/>
          <w:lang w:eastAsia="zh-CN"/>
        </w:rPr>
        <w:t>202</w:t>
      </w:r>
      <w:r>
        <w:rPr>
          <w:rFonts w:hint="eastAsia" w:eastAsia="方正小标宋简体" w:cs="Times New Roman"/>
          <w:color w:val="auto"/>
          <w:kern w:val="0"/>
          <w:sz w:val="44"/>
          <w:szCs w:val="44"/>
          <w:lang w:val="en-US" w:eastAsia="zh-CN"/>
        </w:rPr>
        <w:t>6</w:t>
      </w:r>
      <w:r>
        <w:rPr>
          <w:rFonts w:hint="eastAsia" w:eastAsia="方正小标宋简体" w:cs="Times New Roman"/>
          <w:color w:val="auto"/>
          <w:kern w:val="0"/>
          <w:sz w:val="44"/>
          <w:szCs w:val="44"/>
          <w:lang w:eastAsia="zh-CN"/>
        </w:rPr>
        <w:t>年</w:t>
      </w:r>
      <w:r>
        <w:rPr>
          <w:rFonts w:hint="default" w:ascii="Times New Roman" w:hAnsi="Times New Roman" w:eastAsia="方正小标宋简体" w:cs="Times New Roman"/>
          <w:color w:val="auto"/>
          <w:kern w:val="0"/>
          <w:sz w:val="44"/>
          <w:szCs w:val="44"/>
        </w:rPr>
        <w:t>四川省政府</w:t>
      </w:r>
      <w:r>
        <w:rPr>
          <w:rFonts w:hint="eastAsia" w:eastAsia="方正小标宋简体" w:cs="Times New Roman"/>
          <w:color w:val="auto"/>
          <w:kern w:val="0"/>
          <w:sz w:val="44"/>
          <w:szCs w:val="44"/>
          <w:lang w:eastAsia="zh-CN"/>
        </w:rPr>
        <w:t>再融资</w:t>
      </w:r>
      <w:r>
        <w:rPr>
          <w:rFonts w:hint="default" w:ascii="Times New Roman" w:hAnsi="Times New Roman" w:eastAsia="方正小标宋简体" w:cs="Times New Roman"/>
          <w:color w:val="auto"/>
          <w:kern w:val="0"/>
          <w:sz w:val="44"/>
          <w:szCs w:val="44"/>
          <w:lang w:eastAsia="zh-CN"/>
        </w:rPr>
        <w:t>专项债券</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kern w:val="0"/>
          <w:sz w:val="44"/>
          <w:szCs w:val="44"/>
          <w:lang w:eastAsia="zh-CN"/>
        </w:rPr>
        <w:t>（</w:t>
      </w:r>
      <w:r>
        <w:rPr>
          <w:rFonts w:hint="eastAsia" w:eastAsia="方正小标宋简体" w:cs="Times New Roman"/>
          <w:color w:val="auto"/>
          <w:kern w:val="0"/>
          <w:sz w:val="44"/>
          <w:szCs w:val="44"/>
          <w:lang w:eastAsia="zh-CN"/>
        </w:rPr>
        <w:t>十三至十四</w:t>
      </w:r>
      <w:r>
        <w:rPr>
          <w:rFonts w:hint="default" w:ascii="Times New Roman" w:hAnsi="Times New Roman" w:eastAsia="方正小标宋简体" w:cs="Times New Roman"/>
          <w:color w:val="auto"/>
          <w:kern w:val="0"/>
          <w:sz w:val="44"/>
          <w:szCs w:val="44"/>
          <w:lang w:eastAsia="zh-CN"/>
        </w:rPr>
        <w:t>期）</w:t>
      </w:r>
      <w:r>
        <w:rPr>
          <w:rFonts w:hint="default" w:ascii="Times New Roman" w:hAnsi="Times New Roman" w:eastAsia="方正小标宋简体" w:cs="Times New Roman"/>
          <w:color w:val="auto"/>
          <w:sz w:val="44"/>
          <w:szCs w:val="44"/>
          <w:highlight w:val="none"/>
        </w:rPr>
        <w:t>信息披露文件</w:t>
      </w:r>
    </w:p>
    <w:p>
      <w:pPr>
        <w:keepNext w:val="0"/>
        <w:keepLines w:val="0"/>
        <w:pageBreakBefore w:val="0"/>
        <w:widowControl w:val="0"/>
        <w:kinsoku/>
        <w:wordWrap/>
        <w:overflowPunct/>
        <w:topLinePunct w:val="0"/>
        <w:autoSpaceDE/>
        <w:autoSpaceDN/>
        <w:bidi w:val="0"/>
        <w:adjustRightInd/>
        <w:snapToGrid w:val="0"/>
        <w:spacing w:line="580" w:lineRule="exact"/>
        <w:ind w:firstLine="576" w:firstLineChars="192"/>
        <w:textAlignment w:val="auto"/>
        <w:outlineLvl w:val="0"/>
        <w:rPr>
          <w:rFonts w:hint="default" w:ascii="Times New Roman" w:hAnsi="Times New Roman" w:eastAsia="仿宋_GB2312" w:cs="Times New Roman"/>
          <w:color w:val="auto"/>
          <w:szCs w:val="32"/>
          <w:highlight w:val="none"/>
          <w:lang w:val="en-US" w:eastAsia="zh-CN"/>
        </w:rPr>
      </w:pPr>
      <w:r>
        <w:rPr>
          <w:rFonts w:hint="default" w:ascii="Times New Roman" w:hAnsi="Times New Roman" w:cs="Times New Roman"/>
          <w:color w:val="auto"/>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80" w:lineRule="exact"/>
        <w:ind w:firstLine="614" w:firstLineChars="192"/>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一、债券概况</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（一）基本情况</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2026年</w:t>
      </w:r>
      <w:r>
        <w:rPr>
          <w:rFonts w:hint="default" w:ascii="Times New Roman" w:hAnsi="Times New Roman" w:eastAsia="仿宋_GB2312" w:cs="Times New Roman"/>
          <w:color w:val="auto"/>
          <w:sz w:val="32"/>
          <w:szCs w:val="32"/>
          <w:highlight w:val="none"/>
          <w:lang w:val="en-US" w:eastAsia="zh-CN"/>
        </w:rPr>
        <w:t>四川省政府</w:t>
      </w:r>
      <w:r>
        <w:rPr>
          <w:rFonts w:hint="eastAsia" w:ascii="Times New Roman" w:hAnsi="Times New Roman" w:eastAsia="仿宋_GB2312" w:cs="Times New Roman"/>
          <w:color w:val="auto"/>
          <w:sz w:val="32"/>
          <w:szCs w:val="32"/>
          <w:highlight w:val="none"/>
          <w:lang w:val="en-US" w:eastAsia="zh-CN"/>
        </w:rPr>
        <w:t>再融资</w:t>
      </w:r>
      <w:r>
        <w:rPr>
          <w:rFonts w:hint="default" w:ascii="Times New Roman" w:hAnsi="Times New Roman" w:eastAsia="仿宋_GB2312" w:cs="Times New Roman"/>
          <w:color w:val="auto"/>
          <w:sz w:val="32"/>
          <w:szCs w:val="32"/>
          <w:highlight w:val="none"/>
          <w:lang w:val="en-US" w:eastAsia="zh-CN"/>
        </w:rPr>
        <w:t>专项债券（</w:t>
      </w:r>
      <w:r>
        <w:rPr>
          <w:rFonts w:hint="eastAsia" w:ascii="Times New Roman" w:hAnsi="Times New Roman" w:eastAsia="仿宋_GB2312" w:cs="Times New Roman"/>
          <w:color w:val="auto"/>
          <w:sz w:val="32"/>
          <w:szCs w:val="32"/>
          <w:highlight w:val="none"/>
          <w:lang w:val="en-US" w:eastAsia="zh-CN"/>
        </w:rPr>
        <w:t>十三至十四期</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发行总额</w:t>
      </w:r>
      <w:r>
        <w:rPr>
          <w:rFonts w:hint="eastAsia" w:ascii="Times New Roman" w:hAnsi="Times New Roman" w:eastAsia="仿宋_GB2312" w:cs="Times New Roman"/>
          <w:color w:val="auto"/>
          <w:sz w:val="32"/>
          <w:szCs w:val="32"/>
          <w:highlight w:val="none"/>
          <w:lang w:val="en-US" w:eastAsia="zh-CN"/>
        </w:rPr>
        <w:t>41.0758</w:t>
      </w:r>
      <w:r>
        <w:rPr>
          <w:rFonts w:hint="default" w:ascii="Times New Roman" w:hAnsi="Times New Roman" w:eastAsia="仿宋_GB2312" w:cs="Times New Roman"/>
          <w:color w:val="auto"/>
          <w:sz w:val="32"/>
          <w:szCs w:val="32"/>
          <w:highlight w:val="none"/>
          <w:lang w:val="en-US" w:eastAsia="zh-CN"/>
        </w:rPr>
        <w:t>亿元</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全部</w:t>
      </w:r>
      <w:r>
        <w:rPr>
          <w:rFonts w:hint="default" w:ascii="Times New Roman" w:hAnsi="Times New Roman" w:eastAsia="仿宋_GB2312" w:cs="Times New Roman"/>
          <w:color w:val="auto"/>
          <w:sz w:val="32"/>
          <w:szCs w:val="32"/>
        </w:rPr>
        <w:t>为</w:t>
      </w:r>
      <w:r>
        <w:rPr>
          <w:rFonts w:hint="default" w:ascii="Times New Roman" w:hAnsi="Times New Roman" w:eastAsia="仿宋_GB2312" w:cs="Times New Roman"/>
          <w:color w:val="auto"/>
          <w:sz w:val="32"/>
          <w:szCs w:val="32"/>
          <w:lang w:eastAsia="zh-CN"/>
        </w:rPr>
        <w:t>再融资</w:t>
      </w:r>
      <w:r>
        <w:rPr>
          <w:rFonts w:hint="default" w:ascii="Times New Roman" w:hAnsi="Times New Roman" w:eastAsia="仿宋_GB2312" w:cs="Times New Roman"/>
          <w:color w:val="auto"/>
          <w:sz w:val="32"/>
          <w:szCs w:val="32"/>
        </w:rPr>
        <w:t>债券</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期限</w:t>
      </w:r>
      <w:r>
        <w:rPr>
          <w:rFonts w:hint="eastAsia" w:ascii="Times New Roman" w:hAnsi="Times New Roman" w:eastAsia="仿宋_GB2312" w:cs="Times New Roman"/>
          <w:color w:val="auto"/>
          <w:sz w:val="32"/>
          <w:szCs w:val="32"/>
          <w:lang w:eastAsia="zh-CN"/>
        </w:rPr>
        <w:t>为</w:t>
      </w:r>
      <w:r>
        <w:rPr>
          <w:rFonts w:hint="eastAsia" w:ascii="Times New Roman" w:hAnsi="Times New Roman" w:eastAsia="仿宋_GB2312" w:cs="Times New Roman"/>
          <w:color w:val="auto"/>
          <w:sz w:val="32"/>
          <w:szCs w:val="32"/>
          <w:highlight w:val="none"/>
          <w:lang w:val="en-US" w:eastAsia="zh-CN"/>
        </w:rPr>
        <w:t>7年、10年</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7年债券利息按</w:t>
      </w:r>
      <w:r>
        <w:rPr>
          <w:rFonts w:hint="default" w:ascii="Times New Roman" w:hAnsi="Times New Roman" w:eastAsia="仿宋_GB2312" w:cs="Times New Roman"/>
          <w:color w:val="auto"/>
          <w:sz w:val="32"/>
          <w:szCs w:val="32"/>
          <w:highlight w:val="none"/>
          <w:lang w:val="en-US" w:eastAsia="zh-CN"/>
        </w:rPr>
        <w:t>年支付</w:t>
      </w:r>
      <w:r>
        <w:rPr>
          <w:rFonts w:hint="eastAsia" w:ascii="Times New Roman" w:hAnsi="Times New Roman" w:eastAsia="仿宋_GB2312" w:cs="Times New Roman"/>
          <w:color w:val="auto"/>
          <w:sz w:val="32"/>
          <w:szCs w:val="32"/>
          <w:highlight w:val="none"/>
          <w:lang w:val="en-US" w:eastAsia="zh-CN"/>
        </w:rPr>
        <w:t>，10年债券利息按半年支付</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债券发行后可按规定在全国银行间债券市场和证券交易所债券市场上市流通。各期债券具体情况详见《四川省财政厅关于发行2026年四川省政府再融资专项债券（十三至十四期）和2026年四川省政府一般债券（四期）</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专项债券（三十四至四十二期）有关事项的通知》。</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（二）发行方式</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14" w:firstLineChars="192"/>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2026年</w:t>
      </w:r>
      <w:r>
        <w:rPr>
          <w:rFonts w:hint="default" w:ascii="Times New Roman" w:hAnsi="Times New Roman" w:eastAsia="仿宋_GB2312" w:cs="Times New Roman"/>
          <w:color w:val="auto"/>
          <w:sz w:val="32"/>
          <w:szCs w:val="32"/>
          <w:highlight w:val="none"/>
          <w:lang w:val="en-US" w:eastAsia="zh-CN"/>
        </w:rPr>
        <w:t>四川省政府</w:t>
      </w:r>
      <w:r>
        <w:rPr>
          <w:rFonts w:hint="eastAsia" w:ascii="Times New Roman" w:hAnsi="Times New Roman" w:eastAsia="仿宋_GB2312" w:cs="Times New Roman"/>
          <w:color w:val="auto"/>
          <w:sz w:val="32"/>
          <w:szCs w:val="32"/>
          <w:highlight w:val="none"/>
          <w:lang w:val="en-US" w:eastAsia="zh-CN"/>
        </w:rPr>
        <w:t>再融资</w:t>
      </w:r>
      <w:r>
        <w:rPr>
          <w:rFonts w:hint="default" w:ascii="Times New Roman" w:hAnsi="Times New Roman" w:eastAsia="仿宋_GB2312" w:cs="Times New Roman"/>
          <w:color w:val="auto"/>
          <w:sz w:val="32"/>
          <w:szCs w:val="32"/>
          <w:highlight w:val="none"/>
          <w:lang w:val="en-US" w:eastAsia="zh-CN"/>
        </w:rPr>
        <w:t>专项债券（</w:t>
      </w:r>
      <w:r>
        <w:rPr>
          <w:rFonts w:hint="eastAsia" w:ascii="Times New Roman" w:hAnsi="Times New Roman" w:eastAsia="仿宋_GB2312" w:cs="Times New Roman"/>
          <w:color w:val="auto"/>
          <w:sz w:val="32"/>
          <w:szCs w:val="32"/>
          <w:highlight w:val="none"/>
          <w:lang w:val="en-US" w:eastAsia="zh-CN"/>
        </w:rPr>
        <w:t>十三至十四期</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通过招标方式发行。</w:t>
      </w:r>
      <w:r>
        <w:rPr>
          <w:rFonts w:hint="default" w:ascii="Times New Roman" w:hAnsi="Times New Roman" w:eastAsia="仿宋_GB2312" w:cs="Times New Roman"/>
          <w:sz w:val="32"/>
          <w:szCs w:val="32"/>
          <w:highlight w:val="none"/>
        </w:rPr>
        <w:t>四川省财政厅于招</w:t>
      </w:r>
      <w:r>
        <w:rPr>
          <w:rFonts w:hint="default" w:ascii="Times New Roman" w:hAnsi="Times New Roman" w:eastAsia="仿宋_GB2312" w:cs="Times New Roman"/>
          <w:w w:val="97"/>
          <w:sz w:val="32"/>
          <w:szCs w:val="32"/>
          <w:highlight w:val="none"/>
        </w:rPr>
        <w:t>标日通过财政部</w:t>
      </w:r>
      <w:r>
        <w:rPr>
          <w:rFonts w:hint="eastAsia" w:ascii="Times New Roman" w:hAnsi="Times New Roman" w:eastAsia="仿宋_GB2312" w:cs="Times New Roman"/>
          <w:w w:val="97"/>
          <w:sz w:val="32"/>
          <w:szCs w:val="32"/>
          <w:highlight w:val="none"/>
          <w:lang w:eastAsia="zh-CN"/>
        </w:rPr>
        <w:t>政府</w:t>
      </w:r>
      <w:r>
        <w:rPr>
          <w:rFonts w:hint="default" w:ascii="Times New Roman" w:hAnsi="Times New Roman" w:eastAsia="仿宋_GB2312" w:cs="Times New Roman"/>
          <w:w w:val="97"/>
          <w:sz w:val="32"/>
          <w:szCs w:val="32"/>
          <w:highlight w:val="none"/>
        </w:rPr>
        <w:t>债券发行系统组织招投标工作，</w:t>
      </w:r>
      <w:r>
        <w:rPr>
          <w:rFonts w:hint="default" w:ascii="Times New Roman" w:hAnsi="Times New Roman" w:eastAsia="仿宋_GB2312" w:cs="Times New Roman"/>
          <w:color w:val="auto"/>
          <w:w w:val="97"/>
          <w:sz w:val="32"/>
          <w:szCs w:val="32"/>
          <w:highlight w:val="none"/>
        </w:rPr>
        <w:t>参与机构为</w:t>
      </w:r>
      <w:r>
        <w:rPr>
          <w:rFonts w:hint="eastAsia" w:ascii="Times New Roman" w:hAnsi="Times New Roman" w:eastAsia="仿宋_GB2312" w:cs="Times New Roman"/>
          <w:color w:val="auto"/>
          <w:w w:val="97"/>
          <w:sz w:val="32"/>
          <w:szCs w:val="32"/>
          <w:highlight w:val="none"/>
          <w:lang w:val="en-US" w:eastAsia="zh-CN"/>
        </w:rPr>
        <w:t>2024-2026年</w:t>
      </w:r>
      <w:r>
        <w:rPr>
          <w:rFonts w:hint="default" w:ascii="Times New Roman" w:hAnsi="Times New Roman" w:eastAsia="仿宋_GB2312" w:cs="Times New Roman"/>
          <w:color w:val="auto"/>
          <w:w w:val="97"/>
          <w:sz w:val="32"/>
          <w:szCs w:val="32"/>
          <w:highlight w:val="none"/>
        </w:rPr>
        <w:t>四川省政府债券承销团成员</w:t>
      </w:r>
      <w:r>
        <w:rPr>
          <w:rFonts w:hint="default" w:ascii="Times New Roman" w:hAnsi="Times New Roman" w:eastAsia="仿宋_GB2312" w:cs="Times New Roman"/>
          <w:color w:val="auto"/>
          <w:sz w:val="32"/>
          <w:szCs w:val="32"/>
          <w:highlight w:val="none"/>
        </w:rPr>
        <w:t>。招标发行具体安排详见四川省财政厅《关于印发〈四川省政府债券公开招标发行与兑付管理办法〉的通知》《四川省财政厅关于发行2026年四川省政府再融资专项债券（十三至十四期）和2026年四川省政府一般债券（四期）、专项债券（三十四至四十二期）有关事项的通知》等。</w:t>
      </w:r>
    </w:p>
    <w:p>
      <w:pPr>
        <w:pStyle w:val="4"/>
        <w:keepNext w:val="0"/>
        <w:keepLines w:val="0"/>
        <w:pageBreakBefore w:val="0"/>
        <w:widowControl w:val="0"/>
        <w:numPr>
          <w:ilvl w:val="0"/>
          <w:numId w:val="1"/>
        </w:numPr>
        <w:kinsoku/>
        <w:wordWrap/>
        <w:overflowPunct/>
        <w:topLinePunct w:val="0"/>
        <w:autoSpaceDE/>
        <w:autoSpaceDN/>
        <w:bidi w:val="0"/>
        <w:adjustRightInd/>
        <w:snapToGrid w:val="0"/>
        <w:spacing w:line="58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募集资金投向说明</w:t>
      </w:r>
    </w:p>
    <w:p>
      <w:pPr>
        <w:pStyle w:val="4"/>
        <w:keepNext w:val="0"/>
        <w:keepLines w:val="0"/>
        <w:pageBreakBefore w:val="0"/>
        <w:widowControl w:val="0"/>
        <w:numPr>
          <w:ilvl w:val="0"/>
          <w:numId w:val="0"/>
        </w:numPr>
        <w:kinsoku/>
        <w:wordWrap/>
        <w:overflowPunct/>
        <w:topLinePunct w:val="0"/>
        <w:autoSpaceDE/>
        <w:autoSpaceDN/>
        <w:bidi w:val="0"/>
        <w:adjustRightInd/>
        <w:snapToGrid w:val="0"/>
        <w:spacing w:line="580" w:lineRule="exact"/>
        <w:textAlignment w:val="auto"/>
        <w:rPr>
          <w:rFonts w:hint="default" w:ascii="Times New Roman" w:hAnsi="Times New Roman" w:eastAsia="楷体_GB2312" w:cs="Times New Roman"/>
          <w:b/>
          <w:bCs/>
          <w:color w:val="auto"/>
          <w:sz w:val="32"/>
          <w:szCs w:val="32"/>
          <w:highlight w:val="none"/>
          <w:lang w:val="en-US" w:eastAsia="zh-CN"/>
        </w:rPr>
      </w:pPr>
      <w:r>
        <w:rPr>
          <w:rFonts w:hint="eastAsia" w:ascii="Times New Roman" w:hAnsi="Times New Roman" w:eastAsia="楷体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按照财政部要求</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专项债券纳入政府性基金预算管理</w:t>
      </w:r>
      <w:r>
        <w:rPr>
          <w:rFonts w:hint="default" w:ascii="Times New Roman" w:hAnsi="Times New Roman" w:eastAsia="仿宋_GB2312" w:cs="Times New Roman"/>
          <w:color w:val="auto"/>
          <w:sz w:val="32"/>
          <w:szCs w:val="32"/>
          <w:highlight w:val="none"/>
          <w:lang w:val="en-US" w:eastAsia="zh-CN"/>
        </w:rPr>
        <w:t>。本批</w:t>
      </w:r>
      <w:r>
        <w:rPr>
          <w:rFonts w:hint="default" w:ascii="Times New Roman" w:hAnsi="Times New Roman" w:eastAsia="仿宋_GB2312" w:cs="Times New Roman"/>
          <w:color w:val="auto"/>
          <w:sz w:val="32"/>
          <w:szCs w:val="32"/>
          <w:highlight w:val="none"/>
        </w:rPr>
        <w:t>再融资专项债券（</w:t>
      </w:r>
      <w:r>
        <w:rPr>
          <w:rFonts w:hint="eastAsia" w:ascii="Times New Roman" w:hAnsi="Times New Roman" w:eastAsia="仿宋_GB2312" w:cs="Times New Roman"/>
          <w:color w:val="auto"/>
          <w:sz w:val="32"/>
          <w:szCs w:val="32"/>
          <w:highlight w:val="none"/>
          <w:lang w:eastAsia="zh-CN"/>
        </w:rPr>
        <w:t>十四</w:t>
      </w:r>
      <w:r>
        <w:rPr>
          <w:rFonts w:hint="default" w:ascii="Times New Roman" w:hAnsi="Times New Roman" w:eastAsia="仿宋_GB2312" w:cs="Times New Roman"/>
          <w:color w:val="auto"/>
          <w:sz w:val="32"/>
          <w:szCs w:val="32"/>
          <w:highlight w:val="none"/>
        </w:rPr>
        <w:t>期）</w:t>
      </w:r>
      <w:r>
        <w:rPr>
          <w:rFonts w:hint="default" w:ascii="Times New Roman" w:hAnsi="Times New Roman" w:eastAsia="仿宋_GB2312" w:cs="Times New Roman"/>
          <w:color w:val="auto"/>
          <w:sz w:val="32"/>
          <w:szCs w:val="32"/>
          <w:highlight w:val="none"/>
          <w:lang w:eastAsia="zh-CN"/>
        </w:rPr>
        <w:t>募集资金</w:t>
      </w:r>
      <w:r>
        <w:rPr>
          <w:rFonts w:hint="eastAsia" w:ascii="Times New Roman" w:hAnsi="Times New Roman" w:eastAsia="仿宋_GB2312" w:cs="Times New Roman"/>
          <w:color w:val="auto"/>
          <w:sz w:val="32"/>
          <w:szCs w:val="32"/>
          <w:highlight w:val="none"/>
          <w:lang w:eastAsia="zh-CN"/>
        </w:rPr>
        <w:t>用于置换存量隐性债务，</w:t>
      </w:r>
      <w:r>
        <w:rPr>
          <w:rFonts w:hint="default" w:ascii="Times New Roman" w:hAnsi="Times New Roman" w:eastAsia="仿宋_GB2312" w:cs="Times New Roman"/>
          <w:color w:val="auto"/>
          <w:sz w:val="32"/>
          <w:szCs w:val="32"/>
          <w:highlight w:val="none"/>
        </w:rPr>
        <w:t>再融资专项债券（</w:t>
      </w:r>
      <w:r>
        <w:rPr>
          <w:rFonts w:hint="eastAsia" w:ascii="Times New Roman" w:hAnsi="Times New Roman" w:eastAsia="仿宋_GB2312" w:cs="Times New Roman"/>
          <w:color w:val="auto"/>
          <w:sz w:val="32"/>
          <w:szCs w:val="32"/>
          <w:highlight w:val="none"/>
          <w:lang w:eastAsia="zh-CN"/>
        </w:rPr>
        <w:t>十三</w:t>
      </w:r>
      <w:r>
        <w:rPr>
          <w:rFonts w:hint="default" w:ascii="Times New Roman" w:hAnsi="Times New Roman" w:eastAsia="仿宋_GB2312" w:cs="Times New Roman"/>
          <w:color w:val="auto"/>
          <w:sz w:val="32"/>
          <w:szCs w:val="32"/>
          <w:highlight w:val="none"/>
        </w:rPr>
        <w:t>期）</w:t>
      </w:r>
      <w:r>
        <w:rPr>
          <w:rFonts w:hint="eastAsia" w:ascii="Times New Roman" w:hAnsi="Times New Roman" w:eastAsia="仿宋_GB2312" w:cs="Times New Roman"/>
          <w:color w:val="auto"/>
          <w:sz w:val="32"/>
          <w:szCs w:val="32"/>
          <w:highlight w:val="none"/>
          <w:lang w:eastAsia="zh-CN"/>
        </w:rPr>
        <w:t>募集资金</w:t>
      </w:r>
      <w:r>
        <w:rPr>
          <w:rFonts w:hint="default" w:ascii="Times New Roman" w:hAnsi="Times New Roman" w:eastAsia="仿宋_GB2312" w:cs="Times New Roman"/>
          <w:color w:val="auto"/>
          <w:sz w:val="32"/>
          <w:szCs w:val="32"/>
          <w:highlight w:val="none"/>
          <w:lang w:eastAsia="zh-CN"/>
        </w:rPr>
        <w:t>用于偿还到期政府债券</w:t>
      </w:r>
      <w:r>
        <w:rPr>
          <w:rFonts w:hint="default" w:ascii="Times New Roman" w:hAnsi="Times New Roman" w:eastAsia="仿宋_GB2312" w:cs="Times New Roman"/>
          <w:color w:val="auto"/>
          <w:sz w:val="32"/>
          <w:szCs w:val="32"/>
          <w:highlight w:val="none"/>
          <w:lang w:val="en-US" w:eastAsia="zh-CN"/>
        </w:rPr>
        <w:t>本金，到期债券具体情况如下：</w:t>
      </w:r>
    </w:p>
    <w:tbl>
      <w:tblPr>
        <w:tblStyle w:val="12"/>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0"/>
        <w:gridCol w:w="825"/>
        <w:gridCol w:w="1114"/>
        <w:gridCol w:w="900"/>
        <w:gridCol w:w="1057"/>
        <w:gridCol w:w="1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3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default" w:ascii="Times New Roman" w:hAnsi="Times New Roman" w:eastAsia="宋体" w:cs="Times New Roman"/>
                <w:i w:val="0"/>
                <w:color w:val="auto"/>
                <w:kern w:val="0"/>
                <w:sz w:val="16"/>
                <w:szCs w:val="16"/>
                <w:highlight w:val="none"/>
                <w:u w:val="none"/>
                <w:lang w:val="en-US" w:eastAsia="zh-CN" w:bidi="ar"/>
              </w:rPr>
              <w:t>债券名称</w:t>
            </w:r>
          </w:p>
        </w:tc>
        <w:tc>
          <w:tcPr>
            <w:tcW w:w="8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default" w:ascii="Times New Roman" w:hAnsi="Times New Roman" w:eastAsia="宋体" w:cs="Times New Roman"/>
                <w:i w:val="0"/>
                <w:color w:val="auto"/>
                <w:kern w:val="0"/>
                <w:sz w:val="16"/>
                <w:szCs w:val="16"/>
                <w:highlight w:val="none"/>
                <w:u w:val="none"/>
                <w:lang w:val="en-US" w:eastAsia="zh-CN" w:bidi="ar"/>
              </w:rPr>
              <w:t>债券代码</w:t>
            </w:r>
          </w:p>
        </w:tc>
        <w:tc>
          <w:tcPr>
            <w:tcW w:w="11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default" w:ascii="Times New Roman" w:hAnsi="Times New Roman" w:eastAsia="宋体" w:cs="Times New Roman"/>
                <w:i w:val="0"/>
                <w:color w:val="auto"/>
                <w:kern w:val="0"/>
                <w:sz w:val="16"/>
                <w:szCs w:val="16"/>
                <w:highlight w:val="none"/>
                <w:u w:val="none"/>
                <w:lang w:val="en-US" w:eastAsia="zh-CN" w:bidi="ar"/>
              </w:rPr>
              <w:t>债券简称</w:t>
            </w:r>
          </w:p>
        </w:tc>
        <w:tc>
          <w:tcPr>
            <w:tcW w:w="9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default" w:ascii="Times New Roman" w:hAnsi="Times New Roman" w:eastAsia="宋体" w:cs="Times New Roman"/>
                <w:i w:val="0"/>
                <w:color w:val="auto"/>
                <w:kern w:val="0"/>
                <w:sz w:val="16"/>
                <w:szCs w:val="16"/>
                <w:highlight w:val="none"/>
                <w:u w:val="none"/>
                <w:lang w:val="en-US" w:eastAsia="zh-CN" w:bidi="ar"/>
              </w:rPr>
              <w:t>票面利率（%）</w:t>
            </w:r>
          </w:p>
        </w:tc>
        <w:tc>
          <w:tcPr>
            <w:tcW w:w="105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default" w:ascii="Times New Roman" w:hAnsi="Times New Roman" w:eastAsia="宋体" w:cs="Times New Roman"/>
                <w:i w:val="0"/>
                <w:color w:val="auto"/>
                <w:kern w:val="0"/>
                <w:sz w:val="16"/>
                <w:szCs w:val="16"/>
                <w:highlight w:val="none"/>
                <w:u w:val="none"/>
                <w:lang w:val="en-US" w:eastAsia="zh-CN" w:bidi="ar"/>
              </w:rPr>
              <w:t>还本</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default" w:ascii="Times New Roman" w:hAnsi="Times New Roman" w:eastAsia="宋体" w:cs="Times New Roman"/>
                <w:i w:val="0"/>
                <w:color w:val="auto"/>
                <w:kern w:val="0"/>
                <w:sz w:val="16"/>
                <w:szCs w:val="16"/>
                <w:highlight w:val="none"/>
                <w:u w:val="none"/>
                <w:lang w:val="en-US" w:eastAsia="zh-CN" w:bidi="ar"/>
              </w:rPr>
              <w:t>付息日</w:t>
            </w:r>
          </w:p>
        </w:tc>
        <w:tc>
          <w:tcPr>
            <w:tcW w:w="10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default" w:ascii="Times New Roman" w:hAnsi="Times New Roman" w:eastAsia="宋体" w:cs="Times New Roman"/>
                <w:i w:val="0"/>
                <w:color w:val="auto"/>
                <w:kern w:val="0"/>
                <w:sz w:val="16"/>
                <w:szCs w:val="16"/>
                <w:highlight w:val="none"/>
                <w:u w:val="none"/>
                <w:lang w:val="en-US" w:eastAsia="zh-CN" w:bidi="ar"/>
              </w:rPr>
              <w:t>发行再融资债券偿还金额（</w:t>
            </w:r>
            <w:r>
              <w:rPr>
                <w:rFonts w:hint="eastAsia" w:eastAsia="宋体" w:cs="Times New Roman"/>
                <w:i w:val="0"/>
                <w:color w:val="auto"/>
                <w:kern w:val="0"/>
                <w:sz w:val="16"/>
                <w:szCs w:val="16"/>
                <w:highlight w:val="none"/>
                <w:u w:val="none"/>
                <w:lang w:val="en-US" w:eastAsia="zh-CN" w:bidi="ar"/>
              </w:rPr>
              <w:t>万</w:t>
            </w:r>
            <w:r>
              <w:rPr>
                <w:rFonts w:hint="default" w:ascii="Times New Roman" w:hAnsi="Times New Roman" w:eastAsia="宋体" w:cs="Times New Roman"/>
                <w:i w:val="0"/>
                <w:color w:val="auto"/>
                <w:kern w:val="0"/>
                <w:sz w:val="16"/>
                <w:szCs w:val="16"/>
                <w:highlight w:val="none"/>
                <w:u w:val="none"/>
                <w:lang w:val="en-US" w:eastAsia="zh-CN"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default" w:ascii="Times New Roman" w:hAnsi="Times New Roman" w:eastAsia="宋体" w:cs="Times New Roman"/>
                <w:i w:val="0"/>
                <w:color w:val="auto"/>
                <w:kern w:val="0"/>
                <w:sz w:val="16"/>
                <w:szCs w:val="16"/>
                <w:highlight w:val="none"/>
                <w:u w:val="none"/>
                <w:lang w:val="en-US" w:eastAsia="zh-CN" w:bidi="ar"/>
              </w:rPr>
              <w:t>2020年四川省城乡基础设施建设专项债券</w:t>
            </w:r>
            <w:r>
              <w:rPr>
                <w:rFonts w:hint="eastAsia" w:eastAsia="宋体" w:cs="Times New Roman"/>
                <w:i w:val="0"/>
                <w:color w:val="auto"/>
                <w:kern w:val="0"/>
                <w:sz w:val="16"/>
                <w:szCs w:val="16"/>
                <w:highlight w:val="none"/>
                <w:u w:val="none"/>
                <w:lang w:val="en-US" w:eastAsia="zh-CN" w:bidi="ar"/>
              </w:rPr>
              <w:t>（二十六</w:t>
            </w:r>
            <w:r>
              <w:rPr>
                <w:rFonts w:hint="default" w:ascii="Times New Roman" w:hAnsi="Times New Roman" w:eastAsia="宋体" w:cs="Times New Roman"/>
                <w:i w:val="0"/>
                <w:color w:val="auto"/>
                <w:kern w:val="0"/>
                <w:sz w:val="16"/>
                <w:szCs w:val="16"/>
                <w:highlight w:val="none"/>
                <w:u w:val="none"/>
                <w:lang w:val="en-US" w:eastAsia="zh-CN" w:bidi="ar"/>
              </w:rPr>
              <w:t>期</w:t>
            </w:r>
            <w:r>
              <w:rPr>
                <w:rFonts w:hint="eastAsia" w:eastAsia="宋体" w:cs="Times New Roman"/>
                <w:i w:val="0"/>
                <w:color w:val="auto"/>
                <w:kern w:val="0"/>
                <w:sz w:val="16"/>
                <w:szCs w:val="16"/>
                <w:highlight w:val="none"/>
                <w:u w:val="none"/>
                <w:lang w:val="en-US" w:eastAsia="zh-CN" w:bidi="ar"/>
              </w:rPr>
              <w:t>）</w:t>
            </w:r>
            <w:r>
              <w:rPr>
                <w:rFonts w:hint="default" w:ascii="Times New Roman" w:hAnsi="Times New Roman" w:eastAsia="宋体" w:cs="Times New Roman"/>
                <w:i w:val="0"/>
                <w:color w:val="auto"/>
                <w:kern w:val="0"/>
                <w:sz w:val="16"/>
                <w:szCs w:val="16"/>
                <w:highlight w:val="none"/>
                <w:u w:val="none"/>
                <w:lang w:val="en-US" w:eastAsia="zh-CN" w:bidi="ar"/>
              </w:rPr>
              <w:t>-2020年四川省政府专项债券</w:t>
            </w:r>
            <w:r>
              <w:rPr>
                <w:rFonts w:hint="eastAsia" w:eastAsia="宋体" w:cs="Times New Roman"/>
                <w:i w:val="0"/>
                <w:color w:val="auto"/>
                <w:kern w:val="0"/>
                <w:sz w:val="16"/>
                <w:szCs w:val="16"/>
                <w:highlight w:val="none"/>
                <w:u w:val="none"/>
                <w:lang w:val="en-US" w:eastAsia="zh-CN" w:bidi="ar"/>
              </w:rPr>
              <w:t>（八十五期）</w:t>
            </w:r>
          </w:p>
        </w:tc>
        <w:tc>
          <w:tcPr>
            <w:tcW w:w="8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eastAsia="宋体" w:cs="Times New Roman"/>
                <w:i w:val="0"/>
                <w:color w:val="auto"/>
                <w:kern w:val="0"/>
                <w:sz w:val="16"/>
                <w:szCs w:val="16"/>
                <w:highlight w:val="none"/>
                <w:u w:val="none"/>
                <w:lang w:val="en-US" w:eastAsia="zh-CN" w:bidi="ar"/>
              </w:rPr>
              <w:t>2005881</w:t>
            </w:r>
          </w:p>
        </w:tc>
        <w:tc>
          <w:tcPr>
            <w:tcW w:w="11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ascii="Times New Roman" w:hAnsi="Times New Roman" w:eastAsia="宋体" w:cs="Times New Roman"/>
                <w:i w:val="0"/>
                <w:color w:val="auto"/>
                <w:kern w:val="0"/>
                <w:sz w:val="16"/>
                <w:szCs w:val="16"/>
                <w:highlight w:val="none"/>
                <w:u w:val="none"/>
                <w:lang w:val="en-US" w:eastAsia="zh-CN" w:bidi="ar"/>
              </w:rPr>
              <w:t>2</w:t>
            </w:r>
            <w:r>
              <w:rPr>
                <w:rFonts w:hint="eastAsia" w:eastAsia="宋体" w:cs="Times New Roman"/>
                <w:i w:val="0"/>
                <w:color w:val="auto"/>
                <w:kern w:val="0"/>
                <w:sz w:val="16"/>
                <w:szCs w:val="16"/>
                <w:highlight w:val="none"/>
                <w:u w:val="none"/>
                <w:lang w:val="en-US" w:eastAsia="zh-CN" w:bidi="ar"/>
              </w:rPr>
              <w:t>0</w:t>
            </w:r>
            <w:r>
              <w:rPr>
                <w:rFonts w:hint="eastAsia" w:ascii="Times New Roman" w:hAnsi="Times New Roman" w:eastAsia="宋体" w:cs="Times New Roman"/>
                <w:i w:val="0"/>
                <w:color w:val="auto"/>
                <w:kern w:val="0"/>
                <w:sz w:val="16"/>
                <w:szCs w:val="16"/>
                <w:highlight w:val="none"/>
                <w:u w:val="none"/>
                <w:lang w:val="en-US" w:eastAsia="zh-CN" w:bidi="ar"/>
              </w:rPr>
              <w:t>四川债</w:t>
            </w:r>
            <w:r>
              <w:rPr>
                <w:rFonts w:hint="eastAsia" w:eastAsia="宋体" w:cs="Times New Roman"/>
                <w:i w:val="0"/>
                <w:color w:val="auto"/>
                <w:kern w:val="0"/>
                <w:sz w:val="16"/>
                <w:szCs w:val="16"/>
                <w:highlight w:val="none"/>
                <w:u w:val="none"/>
                <w:lang w:val="en-US" w:eastAsia="zh-CN" w:bidi="ar"/>
              </w:rPr>
              <w:t>103</w:t>
            </w:r>
          </w:p>
        </w:tc>
        <w:tc>
          <w:tcPr>
            <w:tcW w:w="9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eastAsia="宋体" w:cs="Times New Roman"/>
                <w:i w:val="0"/>
                <w:color w:val="auto"/>
                <w:kern w:val="0"/>
                <w:sz w:val="16"/>
                <w:szCs w:val="16"/>
                <w:highlight w:val="none"/>
                <w:u w:val="none"/>
                <w:lang w:val="en-US" w:eastAsia="zh-CN" w:bidi="ar"/>
              </w:rPr>
              <w:t>3.98</w:t>
            </w:r>
          </w:p>
        </w:tc>
        <w:tc>
          <w:tcPr>
            <w:tcW w:w="105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ascii="Times New Roman" w:hAnsi="Times New Roman" w:eastAsia="宋体" w:cs="Times New Roman"/>
                <w:i w:val="0"/>
                <w:color w:val="auto"/>
                <w:kern w:val="0"/>
                <w:sz w:val="16"/>
                <w:szCs w:val="16"/>
                <w:highlight w:val="none"/>
                <w:u w:val="none"/>
                <w:lang w:val="en-US" w:eastAsia="zh-CN" w:bidi="ar"/>
              </w:rPr>
              <w:t>2026/</w:t>
            </w:r>
            <w:r>
              <w:rPr>
                <w:rFonts w:hint="eastAsia" w:eastAsia="宋体" w:cs="Times New Roman"/>
                <w:i w:val="0"/>
                <w:color w:val="auto"/>
                <w:kern w:val="0"/>
                <w:sz w:val="16"/>
                <w:szCs w:val="16"/>
                <w:highlight w:val="none"/>
                <w:u w:val="none"/>
                <w:lang w:val="en-US" w:eastAsia="zh-CN" w:bidi="ar"/>
              </w:rPr>
              <w:t>8</w:t>
            </w:r>
            <w:r>
              <w:rPr>
                <w:rFonts w:hint="eastAsia" w:ascii="Times New Roman" w:hAnsi="Times New Roman" w:eastAsia="宋体" w:cs="Times New Roman"/>
                <w:i w:val="0"/>
                <w:color w:val="auto"/>
                <w:kern w:val="0"/>
                <w:sz w:val="16"/>
                <w:szCs w:val="16"/>
                <w:highlight w:val="none"/>
                <w:u w:val="none"/>
                <w:lang w:val="en-US" w:eastAsia="zh-CN" w:bidi="ar"/>
              </w:rPr>
              <w:t>/2</w:t>
            </w:r>
            <w:r>
              <w:rPr>
                <w:rFonts w:hint="eastAsia" w:eastAsia="宋体" w:cs="Times New Roman"/>
                <w:i w:val="0"/>
                <w:color w:val="auto"/>
                <w:kern w:val="0"/>
                <w:sz w:val="16"/>
                <w:szCs w:val="16"/>
                <w:highlight w:val="none"/>
                <w:u w:val="none"/>
                <w:lang w:val="en-US" w:eastAsia="zh-CN" w:bidi="ar"/>
              </w:rPr>
              <w:t>7</w:t>
            </w:r>
          </w:p>
        </w:tc>
        <w:tc>
          <w:tcPr>
            <w:tcW w:w="10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eastAsia="宋体" w:cs="Times New Roman"/>
                <w:i w:val="0"/>
                <w:color w:val="auto"/>
                <w:kern w:val="0"/>
                <w:sz w:val="16"/>
                <w:szCs w:val="16"/>
                <w:highlight w:val="none"/>
                <w:u w:val="none"/>
                <w:lang w:val="en-US" w:eastAsia="zh-CN" w:bidi="ar"/>
              </w:rPr>
              <w:t>1288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ascii="Times New Roman" w:hAnsi="Times New Roman" w:eastAsia="宋体" w:cs="Times New Roman"/>
                <w:i w:val="0"/>
                <w:color w:val="auto"/>
                <w:kern w:val="0"/>
                <w:sz w:val="16"/>
                <w:szCs w:val="16"/>
                <w:highlight w:val="none"/>
                <w:u w:val="none"/>
                <w:lang w:val="en-US" w:eastAsia="zh-CN" w:bidi="ar"/>
              </w:rPr>
              <w:t>2023年四川省政府再融资专项债券（十二期）</w:t>
            </w:r>
          </w:p>
        </w:tc>
        <w:tc>
          <w:tcPr>
            <w:tcW w:w="8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eastAsia="宋体" w:cs="Times New Roman"/>
                <w:i w:val="0"/>
                <w:color w:val="auto"/>
                <w:kern w:val="0"/>
                <w:sz w:val="16"/>
                <w:szCs w:val="16"/>
                <w:highlight w:val="none"/>
                <w:u w:val="none"/>
                <w:lang w:val="en-US" w:eastAsia="zh-CN" w:bidi="ar"/>
              </w:rPr>
              <w:t>198772</w:t>
            </w:r>
          </w:p>
        </w:tc>
        <w:tc>
          <w:tcPr>
            <w:tcW w:w="11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eastAsia="宋体" w:cs="Times New Roman"/>
                <w:i w:val="0"/>
                <w:color w:val="auto"/>
                <w:kern w:val="0"/>
                <w:sz w:val="16"/>
                <w:szCs w:val="16"/>
                <w:highlight w:val="none"/>
                <w:u w:val="none"/>
                <w:lang w:val="en-US" w:eastAsia="zh-CN" w:bidi="ar"/>
              </w:rPr>
              <w:t>23</w:t>
            </w:r>
            <w:r>
              <w:rPr>
                <w:rFonts w:hint="eastAsia" w:ascii="Times New Roman" w:hAnsi="Times New Roman" w:eastAsia="宋体" w:cs="Times New Roman"/>
                <w:i w:val="0"/>
                <w:color w:val="auto"/>
                <w:kern w:val="0"/>
                <w:sz w:val="16"/>
                <w:szCs w:val="16"/>
                <w:highlight w:val="none"/>
                <w:u w:val="none"/>
                <w:lang w:val="en-US" w:eastAsia="zh-CN" w:bidi="ar"/>
              </w:rPr>
              <w:t>四川</w:t>
            </w:r>
            <w:r>
              <w:rPr>
                <w:rFonts w:hint="eastAsia" w:eastAsia="宋体" w:cs="Times New Roman"/>
                <w:i w:val="0"/>
                <w:color w:val="auto"/>
                <w:kern w:val="0"/>
                <w:sz w:val="16"/>
                <w:szCs w:val="16"/>
                <w:highlight w:val="none"/>
                <w:u w:val="none"/>
                <w:lang w:val="en-US" w:eastAsia="zh-CN" w:bidi="ar"/>
              </w:rPr>
              <w:t>64</w:t>
            </w:r>
          </w:p>
        </w:tc>
        <w:tc>
          <w:tcPr>
            <w:tcW w:w="9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eastAsia="宋体" w:cs="Times New Roman"/>
                <w:i w:val="0"/>
                <w:color w:val="auto"/>
                <w:kern w:val="0"/>
                <w:sz w:val="16"/>
                <w:szCs w:val="16"/>
                <w:highlight w:val="none"/>
                <w:u w:val="none"/>
                <w:lang w:val="en-US" w:eastAsia="zh-CN" w:bidi="ar"/>
              </w:rPr>
              <w:t>2.33</w:t>
            </w:r>
          </w:p>
        </w:tc>
        <w:tc>
          <w:tcPr>
            <w:tcW w:w="105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ascii="Times New Roman" w:hAnsi="Times New Roman" w:eastAsia="宋体" w:cs="Times New Roman"/>
                <w:i w:val="0"/>
                <w:color w:val="auto"/>
                <w:kern w:val="0"/>
                <w:sz w:val="16"/>
                <w:szCs w:val="16"/>
                <w:highlight w:val="none"/>
                <w:u w:val="none"/>
                <w:lang w:val="en-US" w:eastAsia="zh-CN" w:bidi="ar"/>
              </w:rPr>
              <w:t>2026/9/1</w:t>
            </w:r>
          </w:p>
        </w:tc>
        <w:tc>
          <w:tcPr>
            <w:tcW w:w="10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auto"/>
                <w:kern w:val="0"/>
                <w:sz w:val="16"/>
                <w:szCs w:val="16"/>
                <w:highlight w:val="none"/>
                <w:u w:val="none"/>
                <w:lang w:val="en-US" w:eastAsia="zh-CN" w:bidi="ar"/>
              </w:rPr>
            </w:pPr>
            <w:r>
              <w:rPr>
                <w:rFonts w:hint="eastAsia" w:ascii="Times New Roman" w:hAnsi="Times New Roman" w:eastAsia="宋体" w:cs="Times New Roman"/>
                <w:i w:val="0"/>
                <w:color w:val="auto"/>
                <w:kern w:val="0"/>
                <w:sz w:val="16"/>
                <w:szCs w:val="16"/>
                <w:highlight w:val="none"/>
                <w:u w:val="none"/>
                <w:lang w:val="en-US" w:eastAsia="zh-CN" w:bidi="ar"/>
              </w:rPr>
              <w:t>210070</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二、信用评级情况</w:t>
      </w:r>
    </w:p>
    <w:p>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经</w:t>
      </w:r>
      <w:r>
        <w:rPr>
          <w:rFonts w:hint="default" w:ascii="Times New Roman" w:hAnsi="Times New Roman" w:eastAsia="仿宋_GB2312" w:cs="Times New Roman"/>
          <w:color w:val="auto"/>
          <w:sz w:val="32"/>
          <w:szCs w:val="32"/>
          <w:highlight w:val="none"/>
          <w:lang w:eastAsia="zh-CN"/>
        </w:rPr>
        <w:t>联合</w:t>
      </w:r>
      <w:r>
        <w:rPr>
          <w:rFonts w:hint="default" w:ascii="Times New Roman" w:hAnsi="Times New Roman" w:eastAsia="仿宋_GB2312" w:cs="Times New Roman"/>
          <w:color w:val="auto"/>
          <w:sz w:val="32"/>
          <w:szCs w:val="32"/>
          <w:highlight w:val="none"/>
        </w:rPr>
        <w:t>资信评估</w:t>
      </w:r>
      <w:r>
        <w:rPr>
          <w:rFonts w:hint="default" w:ascii="Times New Roman" w:hAnsi="Times New Roman" w:eastAsia="仿宋_GB2312" w:cs="Times New Roman"/>
          <w:color w:val="auto"/>
          <w:sz w:val="32"/>
          <w:szCs w:val="32"/>
          <w:highlight w:val="none"/>
          <w:lang w:eastAsia="zh-CN"/>
        </w:rPr>
        <w:t>股份</w:t>
      </w:r>
      <w:r>
        <w:rPr>
          <w:rFonts w:hint="default" w:ascii="Times New Roman" w:hAnsi="Times New Roman" w:eastAsia="仿宋_GB2312" w:cs="Times New Roman"/>
          <w:color w:val="auto"/>
          <w:sz w:val="32"/>
          <w:szCs w:val="32"/>
          <w:highlight w:val="none"/>
        </w:rPr>
        <w:t>有限公司综合评定，</w:t>
      </w:r>
      <w:r>
        <w:rPr>
          <w:rFonts w:hint="eastAsia" w:ascii="Times New Roman" w:hAnsi="Times New Roman" w:eastAsia="仿宋_GB2312" w:cs="Times New Roman"/>
          <w:color w:val="auto"/>
          <w:sz w:val="32"/>
          <w:szCs w:val="32"/>
          <w:highlight w:val="none"/>
          <w:lang w:eastAsia="zh-CN"/>
        </w:rPr>
        <w:t>2026年四川省政府再融资专项债券（十三至十四期）</w:t>
      </w:r>
      <w:r>
        <w:rPr>
          <w:rFonts w:hint="default" w:ascii="Times New Roman" w:hAnsi="Times New Roman" w:eastAsia="仿宋_GB2312" w:cs="Times New Roman"/>
          <w:color w:val="auto"/>
          <w:sz w:val="32"/>
          <w:szCs w:val="32"/>
          <w:highlight w:val="none"/>
        </w:rPr>
        <w:t>债券信用级别均为AAA。在</w:t>
      </w:r>
      <w:r>
        <w:rPr>
          <w:rFonts w:hint="eastAsia" w:ascii="Times New Roman" w:hAnsi="Times New Roman" w:eastAsia="仿宋_GB2312" w:cs="Times New Roman"/>
          <w:color w:val="auto"/>
          <w:sz w:val="32"/>
          <w:szCs w:val="32"/>
          <w:highlight w:val="none"/>
          <w:lang w:eastAsia="zh-CN"/>
        </w:rPr>
        <w:t>2026年四川省政府再融资专项债券（十三至十四期）</w:t>
      </w:r>
      <w:r>
        <w:rPr>
          <w:rFonts w:hint="default" w:ascii="Times New Roman" w:hAnsi="Times New Roman" w:eastAsia="仿宋_GB2312" w:cs="Times New Roman"/>
          <w:color w:val="auto"/>
          <w:sz w:val="32"/>
          <w:szCs w:val="32"/>
          <w:highlight w:val="none"/>
        </w:rPr>
        <w:t>存续期内，四川省财政厅将委托</w:t>
      </w:r>
      <w:r>
        <w:rPr>
          <w:rFonts w:hint="default" w:ascii="Times New Roman" w:hAnsi="Times New Roman" w:eastAsia="仿宋_GB2312" w:cs="Times New Roman"/>
          <w:color w:val="auto"/>
          <w:sz w:val="32"/>
          <w:szCs w:val="32"/>
          <w:highlight w:val="none"/>
          <w:lang w:eastAsia="zh-CN"/>
        </w:rPr>
        <w:t>联合</w:t>
      </w:r>
      <w:r>
        <w:rPr>
          <w:rFonts w:hint="default" w:ascii="Times New Roman" w:hAnsi="Times New Roman" w:eastAsia="仿宋_GB2312" w:cs="Times New Roman"/>
          <w:color w:val="auto"/>
          <w:sz w:val="32"/>
          <w:szCs w:val="32"/>
          <w:highlight w:val="none"/>
        </w:rPr>
        <w:t>资信评估</w:t>
      </w:r>
      <w:r>
        <w:rPr>
          <w:rFonts w:hint="default" w:ascii="Times New Roman" w:hAnsi="Times New Roman" w:eastAsia="仿宋_GB2312" w:cs="Times New Roman"/>
          <w:color w:val="auto"/>
          <w:sz w:val="32"/>
          <w:szCs w:val="32"/>
          <w:highlight w:val="none"/>
          <w:lang w:eastAsia="zh-CN"/>
        </w:rPr>
        <w:t>股份</w:t>
      </w:r>
      <w:r>
        <w:rPr>
          <w:rFonts w:hint="default" w:ascii="Times New Roman" w:hAnsi="Times New Roman" w:eastAsia="仿宋_GB2312" w:cs="Times New Roman"/>
          <w:color w:val="auto"/>
          <w:sz w:val="32"/>
          <w:szCs w:val="32"/>
          <w:highlight w:val="none"/>
        </w:rPr>
        <w:t>有限公司每年开展一次跟踪评级。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三、全省中长期经济规划情况</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《四川省国民经济和社会发展第十</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个五年规划纲要》已经四川省第十</w:t>
      </w:r>
      <w:r>
        <w:rPr>
          <w:rFonts w:hint="eastAsia" w:ascii="Times New Roman" w:hAnsi="Times New Roman" w:eastAsia="仿宋_GB2312"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届人民代表大会第</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次会议批准。“十</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五”时期四川将坚持马克思列宁主义、毛泽东思想、邓小平理论、“三个代表”重要思想、科学发展观，全面贯彻习近平新时代中国特色社会主义思想，深入贯彻党的二十大和二十届历次全会精神，坚定落实习近平总书记对四川工作系列重要指示精神，统筹推进“五位一体”总体布局，协调推进“四个全面”战略布局，完整准确全面贯彻新发展理念，坚持稳中求进工作总基调，坚持以经济建设为中心，以推动高质量发展为主题，以改革创新为根本动力，以满足人民日益增长的美好生活需要为根本目的，以全面从严治党为根本保障，深入实施“四化同步、城乡融合、五区共兴”发展战略，主动服务国家战略全局，更好融入新发展格局，推动经济实现质的有效提升和量的合理增长，推动共同富裕迈出坚实步伐，确保四川基本实现社会主义现代化取得决定性进展。</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五”时期，四川经济社会发展的主要目标是：建设现代化经济强省取得重要进展。经济增速保持高于全国平均水平。打造西部地区创新高地取得重要进展。创新体系整体效能持续提升，科技创新策源功能显著增强，一批关键核心技术取得突破，科技成果转化效率大幅提升，教育科技人才一体发展格局基本形成。区域城乡协调发展取得重要进展。成渝地区双城经济圈加快成为全国高质量发展增长极，五区共兴发展成效显著。建设新时代改革开放新高地取得重要进展。进一步全面深化改革任务如期完成，一批标志性引领性改革取得重大突破。社会文明进步取得重要进展。社会主义核心价值观广泛践行，社会文明风尚更加浓厚，人民精神文化生活更加丰富，四川文化软实力显著增强，习近平文化思想实践新高地建设加快推进。创造高品质生活取得重要进展。高质量充分就业局面加快形成，居民收入增长和经济增长同步，分配结构得到优化，城乡居民收入比进一步降低。公共服务体系更加健全，社会保障制度更加优化更可持续。美丽四川建设取得重要进展。生态环境持续改善，重点领域绿色低碳转型步伐加快，2030年前碳达峰目标如期实现，维护国家生态安全的战略屏障更加巩固，美丽中国先行区建设扎实推进。统筹发展和安全取得重要进展。保障国家重要初级产品供给战略基地加快建设，重点领域风险有效防范化解，平安四川建设达到更高水平，社会治理和公共安全治理水平明显提高，治理体系和治理能力现代化水平迈上新台阶。</w:t>
      </w:r>
    </w:p>
    <w:p>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eastAsia="zh-CN"/>
        </w:rPr>
        <w:t>在此基础上再奋斗五年，到</w:t>
      </w:r>
      <w:r>
        <w:rPr>
          <w:rFonts w:hint="eastAsia" w:ascii="Times New Roman" w:hAnsi="Times New Roman" w:eastAsia="仿宋_GB2312" w:cs="Times New Roman"/>
          <w:color w:val="auto"/>
          <w:sz w:val="32"/>
          <w:szCs w:val="32"/>
          <w:highlight w:val="none"/>
          <w:lang w:val="en-US" w:eastAsia="zh-CN"/>
        </w:rPr>
        <w:t>2035年实现全省经济实力、科技实力和综合竞争力大幅跃升，基本建成现代化经济强省，人民生活更加幸福安逸，与全国同步基本实现社会主义现代化。</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《四川省国民经济和社会发展第十</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个五年规划纲要》具体内容参见四川省</w:t>
      </w:r>
      <w:r>
        <w:rPr>
          <w:rFonts w:hint="eastAsia" w:ascii="Times New Roman" w:hAnsi="Times New Roman" w:eastAsia="仿宋_GB2312" w:cs="Times New Roman"/>
          <w:color w:val="auto"/>
          <w:sz w:val="32"/>
          <w:szCs w:val="32"/>
          <w:highlight w:val="none"/>
          <w:lang w:eastAsia="zh-CN"/>
        </w:rPr>
        <w:t>人民政府</w:t>
      </w:r>
      <w:r>
        <w:rPr>
          <w:rFonts w:hint="default" w:ascii="Times New Roman" w:hAnsi="Times New Roman" w:eastAsia="仿宋_GB2312" w:cs="Times New Roman"/>
          <w:color w:val="auto"/>
          <w:sz w:val="32"/>
          <w:szCs w:val="32"/>
          <w:highlight w:val="none"/>
        </w:rPr>
        <w:t>网站。</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640" w:leftChars="0" w:firstLine="0" w:firstLineChars="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四川省经济、财政和债务有关数据</w:t>
      </w:r>
    </w:p>
    <w:tbl>
      <w:tblPr>
        <w:tblStyle w:val="11"/>
        <w:tblW w:w="9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8"/>
        <w:gridCol w:w="1120"/>
        <w:gridCol w:w="49"/>
        <w:gridCol w:w="463"/>
        <w:gridCol w:w="185"/>
        <w:gridCol w:w="465"/>
        <w:gridCol w:w="1031"/>
        <w:gridCol w:w="56"/>
        <w:gridCol w:w="1126"/>
        <w:gridCol w:w="596"/>
        <w:gridCol w:w="397"/>
        <w:gridCol w:w="27"/>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9723" w:type="dxa"/>
            <w:gridSpan w:val="13"/>
            <w:noWrap/>
            <w:vAlign w:val="center"/>
          </w:tcPr>
          <w:p>
            <w:pPr>
              <w:widowControl/>
              <w:spacing w:line="400" w:lineRule="exact"/>
              <w:ind w:firstLine="482"/>
              <w:rPr>
                <w:rFonts w:hint="default" w:ascii="Times New Roman" w:hAnsi="Times New Roman" w:cs="Times New Roman"/>
                <w:b/>
                <w:kern w:val="0"/>
                <w:sz w:val="24"/>
                <w:highlight w:val="none"/>
              </w:rPr>
            </w:pPr>
            <w:r>
              <w:rPr>
                <w:rFonts w:hint="default" w:ascii="Times New Roman" w:hAnsi="Times New Roman" w:cs="Times New Roman"/>
                <w:b/>
                <w:kern w:val="0"/>
                <w:sz w:val="24"/>
                <w:highlight w:val="none"/>
              </w:rPr>
              <w:t>一、地方经济状况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9723" w:type="dxa"/>
            <w:gridSpan w:val="13"/>
            <w:noWrap/>
            <w:vAlign w:val="center"/>
          </w:tcPr>
          <w:p>
            <w:pPr>
              <w:widowControl/>
              <w:spacing w:line="400" w:lineRule="exact"/>
              <w:ind w:firstLine="482"/>
              <w:jc w:val="center"/>
              <w:rPr>
                <w:rFonts w:hint="default" w:ascii="Times New Roman" w:hAnsi="Times New Roman" w:cs="Times New Roman"/>
                <w:b/>
                <w:kern w:val="0"/>
                <w:sz w:val="24"/>
                <w:highlight w:val="none"/>
              </w:rPr>
            </w:pPr>
            <w:r>
              <w:rPr>
                <w:rFonts w:hint="default" w:ascii="Times New Roman" w:hAnsi="Times New Roman" w:eastAsia="仿宋_GB2312" w:cs="Times New Roman"/>
                <w:b/>
                <w:bCs/>
                <w:kern w:val="2"/>
                <w:sz w:val="24"/>
                <w:szCs w:val="21"/>
                <w:highlight w:val="none"/>
                <w:lang w:val="en-US" w:eastAsia="zh-CN" w:bidi="ar-SA"/>
              </w:rPr>
              <w:t>20</w:t>
            </w:r>
            <w:r>
              <w:rPr>
                <w:rFonts w:hint="default" w:ascii="Times New Roman" w:hAnsi="Times New Roman" w:cs="Times New Roman"/>
                <w:b/>
                <w:bCs/>
                <w:kern w:val="2"/>
                <w:sz w:val="24"/>
                <w:szCs w:val="21"/>
                <w:highlight w:val="none"/>
                <w:lang w:val="en-US" w:eastAsia="zh-CN" w:bidi="ar-SA"/>
              </w:rPr>
              <w:t>2</w:t>
            </w:r>
            <w:r>
              <w:rPr>
                <w:rFonts w:hint="eastAsia" w:cs="Times New Roman"/>
                <w:b/>
                <w:bCs/>
                <w:kern w:val="2"/>
                <w:sz w:val="24"/>
                <w:szCs w:val="21"/>
                <w:highlight w:val="none"/>
                <w:lang w:val="en-US" w:eastAsia="zh-CN" w:bidi="ar-SA"/>
              </w:rPr>
              <w:t>3</w:t>
            </w:r>
            <w:r>
              <w:rPr>
                <w:rFonts w:hint="default" w:ascii="Times New Roman" w:hAnsi="Times New Roman" w:eastAsia="仿宋_GB2312" w:cs="Times New Roman"/>
                <w:b/>
                <w:bCs/>
                <w:kern w:val="2"/>
                <w:sz w:val="24"/>
                <w:szCs w:val="21"/>
                <w:highlight w:val="none"/>
                <w:lang w:val="en-US" w:eastAsia="zh-CN" w:bidi="ar-SA"/>
              </w:rPr>
              <w:t>－202</w:t>
            </w:r>
            <w:r>
              <w:rPr>
                <w:rFonts w:hint="eastAsia" w:cs="Times New Roman"/>
                <w:b/>
                <w:bCs/>
                <w:kern w:val="2"/>
                <w:sz w:val="24"/>
                <w:szCs w:val="21"/>
                <w:highlight w:val="none"/>
                <w:lang w:val="en-US" w:eastAsia="zh-CN" w:bidi="ar-SA"/>
              </w:rPr>
              <w:t>5</w:t>
            </w:r>
            <w:r>
              <w:rPr>
                <w:rFonts w:hint="default" w:ascii="Times New Roman" w:hAnsi="Times New Roman" w:cs="Times New Roman"/>
                <w:b/>
                <w:kern w:val="0"/>
                <w:sz w:val="24"/>
                <w:highlight w:val="none"/>
              </w:rPr>
              <w:t>年经济基本状况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exact"/>
          <w:jc w:val="center"/>
        </w:trPr>
        <w:tc>
          <w:tcPr>
            <w:tcW w:w="4915" w:type="dxa"/>
            <w:gridSpan w:val="5"/>
            <w:noWrap/>
            <w:vAlign w:val="center"/>
          </w:tcPr>
          <w:p>
            <w:pPr>
              <w:widowControl/>
              <w:spacing w:line="400" w:lineRule="exact"/>
              <w:ind w:firstLine="2880" w:firstLineChars="120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3175</wp:posOffset>
                      </wp:positionV>
                      <wp:extent cx="3124835" cy="497840"/>
                      <wp:effectExtent l="635" t="4445" r="17780" b="12065"/>
                      <wp:wrapNone/>
                      <wp:docPr id="1" name="直接箭头连接符 1"/>
                      <wp:cNvGraphicFramePr/>
                      <a:graphic xmlns:a="http://schemas.openxmlformats.org/drawingml/2006/main">
                        <a:graphicData uri="http://schemas.microsoft.com/office/word/2010/wordprocessingShape">
                          <wps:wsp>
                            <wps:cNvCnPr/>
                            <wps:spPr>
                              <a:xfrm>
                                <a:off x="0" y="0"/>
                                <a:ext cx="3124835" cy="4978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5.15pt;margin-top:0.25pt;height:39.2pt;width:246.05pt;z-index:251659264;mso-width-relative:page;mso-height-relative:page;" filled="f" stroked="t" coordsize="21600,21600" o:gfxdata="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qlGHh1gAAAAcBAAAPAAAAAAAAAAEAIAAAADgAAABkcnMvZG93&#10;bnJldi54bWxQSwECFAAUAAAACACHTuJA99Q01OwBAACxAwAADgAAAAAAAAABACAAAAA7AQAAZHJz&#10;L2Uyb0RvYy54bWxQSwUGAAAAAAYABgBZAQAAmQUAAAAA&#10;">
                      <v:fill on="f" focussize="0,0"/>
                      <v:stroke color="#000000" joinstyle="round"/>
                      <v:imagedata o:title=""/>
                      <o:lock v:ext="edit" aspectratio="f"/>
                    </v:shape>
                  </w:pict>
                </mc:Fallback>
              </mc:AlternateContent>
            </w:r>
            <w:r>
              <w:rPr>
                <w:rFonts w:hint="default" w:ascii="Times New Roman" w:hAnsi="Times New Roman" w:cs="Times New Roman"/>
                <w:kern w:val="0"/>
                <w:sz w:val="24"/>
                <w:highlight w:val="none"/>
              </w:rPr>
              <w:t>年份</w:t>
            </w:r>
          </w:p>
          <w:p>
            <w:pPr>
              <w:widowControl/>
              <w:spacing w:line="400" w:lineRule="exact"/>
              <w:ind w:firstLine="1320" w:firstLineChars="55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项目</w:t>
            </w:r>
          </w:p>
        </w:tc>
        <w:tc>
          <w:tcPr>
            <w:tcW w:w="1552" w:type="dxa"/>
            <w:gridSpan w:val="3"/>
            <w:noWrap/>
            <w:vAlign w:val="center"/>
          </w:tcPr>
          <w:p>
            <w:pPr>
              <w:widowControl/>
              <w:spacing w:line="400" w:lineRule="exact"/>
              <w:jc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cs="Times New Roman"/>
                <w:kern w:val="0"/>
                <w:sz w:val="24"/>
                <w:highlight w:val="none"/>
                <w:lang w:val="en"/>
              </w:rPr>
              <w:t>202</w:t>
            </w:r>
            <w:r>
              <w:rPr>
                <w:rFonts w:hint="eastAsia" w:cs="Times New Roman"/>
                <w:kern w:val="0"/>
                <w:sz w:val="24"/>
                <w:highlight w:val="none"/>
                <w:lang w:val="en-US" w:eastAsia="zh-CN"/>
              </w:rPr>
              <w:t>3</w:t>
            </w:r>
            <w:r>
              <w:rPr>
                <w:rFonts w:hint="default" w:ascii="Times New Roman" w:hAnsi="Times New Roman" w:cs="Times New Roman"/>
                <w:kern w:val="0"/>
                <w:sz w:val="24"/>
                <w:highlight w:val="none"/>
                <w:lang w:val="en" w:eastAsia="zh-CN"/>
              </w:rPr>
              <w:t>年</w:t>
            </w:r>
          </w:p>
        </w:tc>
        <w:tc>
          <w:tcPr>
            <w:tcW w:w="1722" w:type="dxa"/>
            <w:gridSpan w:val="2"/>
            <w:noWrap/>
            <w:vAlign w:val="center"/>
          </w:tcPr>
          <w:p>
            <w:pPr>
              <w:widowControl/>
              <w:spacing w:line="400" w:lineRule="exact"/>
              <w:jc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cs="Times New Roman"/>
                <w:kern w:val="0"/>
                <w:sz w:val="24"/>
                <w:highlight w:val="none"/>
                <w:lang w:val="en"/>
              </w:rPr>
              <w:t>202</w:t>
            </w:r>
            <w:r>
              <w:rPr>
                <w:rFonts w:hint="eastAsia" w:cs="Times New Roman"/>
                <w:kern w:val="0"/>
                <w:sz w:val="24"/>
                <w:highlight w:val="none"/>
                <w:lang w:val="en-US" w:eastAsia="zh-CN"/>
              </w:rPr>
              <w:t>4</w:t>
            </w:r>
            <w:r>
              <w:rPr>
                <w:rFonts w:hint="default" w:ascii="Times New Roman" w:hAnsi="Times New Roman" w:cs="Times New Roman"/>
                <w:kern w:val="0"/>
                <w:sz w:val="24"/>
                <w:highlight w:val="none"/>
                <w:lang w:val="en" w:eastAsia="zh-CN"/>
              </w:rPr>
              <w:t>年</w:t>
            </w:r>
          </w:p>
        </w:tc>
        <w:tc>
          <w:tcPr>
            <w:tcW w:w="1534" w:type="dxa"/>
            <w:gridSpan w:val="3"/>
            <w:noWrap/>
            <w:vAlign w:val="center"/>
          </w:tcPr>
          <w:p>
            <w:pPr>
              <w:widowControl/>
              <w:spacing w:line="400" w:lineRule="exact"/>
              <w:jc w:val="center"/>
              <w:rPr>
                <w:rFonts w:hint="default" w:ascii="Times New Roman" w:hAnsi="Times New Roman" w:eastAsia="仿宋_GB2312" w:cs="Times New Roman"/>
                <w:kern w:val="0"/>
                <w:sz w:val="24"/>
                <w:highlight w:val="none"/>
                <w:lang w:val="en" w:eastAsia="zh-CN"/>
              </w:rPr>
            </w:pPr>
            <w:r>
              <w:rPr>
                <w:rFonts w:hint="default" w:ascii="Times New Roman" w:hAnsi="Times New Roman" w:cs="Times New Roman"/>
                <w:kern w:val="0"/>
                <w:sz w:val="24"/>
                <w:highlight w:val="none"/>
                <w:lang w:val="en"/>
              </w:rPr>
              <w:t>202</w:t>
            </w:r>
            <w:r>
              <w:rPr>
                <w:rFonts w:hint="eastAsia" w:cs="Times New Roman"/>
                <w:kern w:val="0"/>
                <w:sz w:val="24"/>
                <w:highlight w:val="none"/>
                <w:lang w:val="en-US" w:eastAsia="zh-CN"/>
              </w:rPr>
              <w:t>5</w:t>
            </w:r>
            <w:r>
              <w:rPr>
                <w:rFonts w:hint="default" w:ascii="Times New Roman" w:hAnsi="Times New Roman" w:cs="Times New Roman"/>
                <w:kern w:val="0"/>
                <w:sz w:val="24"/>
                <w:highlight w:val="none"/>
                <w:lang w:val="en"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地区生产总值（亿元）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60132.</w:t>
            </w:r>
            <w:r>
              <w:rPr>
                <w:rFonts w:hint="default" w:ascii="Times New Roman" w:hAnsi="Times New Roman" w:cs="Times New Roman"/>
                <w:sz w:val="24"/>
                <w:highlight w:val="none"/>
                <w:lang w:val="en" w:eastAsia="zh-CN"/>
              </w:rPr>
              <w:t>9</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64697.0</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 w:eastAsia="zh-CN"/>
              </w:rPr>
            </w:pPr>
            <w:r>
              <w:rPr>
                <w:rFonts w:hint="eastAsia" w:ascii="Times New Roman" w:hAnsi="Times New Roman" w:eastAsia="仿宋_GB2312" w:cs="Times New Roman"/>
                <w:b w:val="0"/>
                <w:color w:val="000000"/>
                <w:sz w:val="24"/>
                <w:szCs w:val="24"/>
                <w:lang w:val="en-US" w:eastAsia="zh-CN"/>
              </w:rPr>
              <w:t>67665.34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地区生产总值增速（%）</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 w:eastAsia="zh-CN" w:bidi="ar-SA"/>
              </w:rPr>
            </w:pPr>
            <w:r>
              <w:rPr>
                <w:rFonts w:hint="default" w:ascii="Times New Roman" w:hAnsi="Times New Roman" w:cs="Times New Roman"/>
                <w:sz w:val="24"/>
                <w:highlight w:val="none"/>
                <w:lang w:val="en-US" w:eastAsia="zh-CN"/>
              </w:rPr>
              <w:t>6.0</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5.7</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eastAsia" w:ascii="Times New Roman" w:hAnsi="Times New Roman" w:eastAsia="仿宋_GB2312" w:cs="Times New Roman"/>
                <w:b w:val="0"/>
                <w:color w:val="000000"/>
                <w:sz w:val="24"/>
                <w:szCs w:val="24"/>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第一产业增加值（亿元）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6056.64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5619.9</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eastAsia" w:ascii="Times New Roman" w:hAnsi="Times New Roman" w:eastAsia="仿宋_GB2312" w:cs="Times New Roman"/>
                <w:b w:val="0"/>
                <w:color w:val="000000"/>
                <w:sz w:val="24"/>
                <w:szCs w:val="24"/>
                <w:lang w:val="en-US" w:eastAsia="zh-CN"/>
              </w:rPr>
              <w:t>5751.35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第二产业增加值（亿元）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21306.70</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22816.9</w:t>
            </w:r>
          </w:p>
        </w:tc>
        <w:tc>
          <w:tcPr>
            <w:tcW w:w="1534" w:type="dxa"/>
            <w:gridSpan w:val="3"/>
            <w:noWrap/>
            <w:vAlign w:val="center"/>
          </w:tcPr>
          <w:p>
            <w:pPr>
              <w:spacing w:line="240" w:lineRule="auto"/>
              <w:ind w:firstLine="0" w:firstLineChars="0"/>
              <w:jc w:val="right"/>
              <w:rPr>
                <w:rFonts w:hint="default" w:ascii="Times New Roman" w:hAnsi="Times New Roman" w:eastAsia="仿宋_GB2312" w:cs="Times New Roman"/>
                <w:sz w:val="24"/>
                <w:highlight w:val="none"/>
                <w:lang w:val="en-US" w:eastAsia="zh-CN"/>
              </w:rPr>
            </w:pPr>
            <w:r>
              <w:rPr>
                <w:rFonts w:hint="eastAsia" w:ascii="Times New Roman" w:hAnsi="Times New Roman" w:eastAsia="仿宋_GB2312" w:cs="Times New Roman"/>
                <w:b w:val="0"/>
                <w:color w:val="000000"/>
                <w:sz w:val="24"/>
                <w:szCs w:val="24"/>
                <w:lang w:val="en-US" w:eastAsia="zh-CN"/>
              </w:rPr>
              <w:t>23260.22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第三产业增加值（亿元）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32769.54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36260.2</w:t>
            </w:r>
          </w:p>
        </w:tc>
        <w:tc>
          <w:tcPr>
            <w:tcW w:w="1534" w:type="dxa"/>
            <w:gridSpan w:val="3"/>
            <w:noWrap/>
            <w:vAlign w:val="center"/>
          </w:tcPr>
          <w:p>
            <w:pPr>
              <w:spacing w:line="240" w:lineRule="auto"/>
              <w:ind w:firstLine="0" w:firstLineChars="0"/>
              <w:jc w:val="right"/>
              <w:rPr>
                <w:rFonts w:hint="default" w:ascii="Times New Roman" w:hAnsi="Times New Roman" w:eastAsia="仿宋_GB2312" w:cs="Times New Roman"/>
                <w:sz w:val="24"/>
                <w:highlight w:val="none"/>
                <w:lang w:val="en-US" w:eastAsia="zh-CN"/>
              </w:rPr>
            </w:pPr>
            <w:r>
              <w:rPr>
                <w:rFonts w:hint="eastAsia" w:ascii="Times New Roman" w:hAnsi="Times New Roman" w:eastAsia="仿宋_GB2312" w:cs="Times New Roman"/>
                <w:b w:val="0"/>
                <w:color w:val="000000"/>
                <w:sz w:val="24"/>
                <w:szCs w:val="24"/>
                <w:lang w:val="en-US" w:eastAsia="zh-CN"/>
              </w:rPr>
              <w:t>38653.77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产业结构</w:t>
            </w:r>
          </w:p>
        </w:tc>
        <w:tc>
          <w:tcPr>
            <w:tcW w:w="1552" w:type="dxa"/>
            <w:gridSpan w:val="3"/>
            <w:noWrap/>
            <w:vAlign w:val="center"/>
          </w:tcPr>
          <w:p>
            <w:pPr>
              <w:spacing w:line="400" w:lineRule="exact"/>
              <w:ind w:left="640" w:leftChars="0"/>
              <w:jc w:val="right"/>
              <w:rPr>
                <w:rFonts w:hint="default" w:ascii="Times New Roman" w:hAnsi="Times New Roman" w:eastAsia="仿宋_GB2312" w:cs="Times New Roman"/>
                <w:kern w:val="2"/>
                <w:sz w:val="24"/>
                <w:szCs w:val="24"/>
                <w:highlight w:val="none"/>
                <w:lang w:val="en-US" w:eastAsia="zh-CN" w:bidi="ar-SA"/>
              </w:rPr>
            </w:pPr>
          </w:p>
        </w:tc>
        <w:tc>
          <w:tcPr>
            <w:tcW w:w="1722" w:type="dxa"/>
            <w:gridSpan w:val="2"/>
            <w:noWrap/>
            <w:vAlign w:val="center"/>
          </w:tcPr>
          <w:p>
            <w:pPr>
              <w:spacing w:line="400" w:lineRule="exact"/>
              <w:ind w:left="640" w:leftChars="0"/>
              <w:jc w:val="right"/>
              <w:rPr>
                <w:rFonts w:hint="default" w:ascii="Times New Roman" w:hAnsi="Times New Roman" w:eastAsia="仿宋_GB2312" w:cs="Times New Roman"/>
                <w:kern w:val="2"/>
                <w:sz w:val="24"/>
                <w:szCs w:val="24"/>
                <w:highlight w:val="none"/>
                <w:lang w:val="en-US" w:eastAsia="zh-CN" w:bidi="ar-SA"/>
              </w:rPr>
            </w:pPr>
          </w:p>
        </w:tc>
        <w:tc>
          <w:tcPr>
            <w:tcW w:w="1534" w:type="dxa"/>
            <w:gridSpan w:val="3"/>
            <w:noWrap/>
            <w:vAlign w:val="center"/>
          </w:tcPr>
          <w:p>
            <w:pPr>
              <w:spacing w:line="400" w:lineRule="exact"/>
              <w:ind w:left="640" w:leftChars="0"/>
              <w:jc w:val="right"/>
              <w:rPr>
                <w:rFonts w:hint="default" w:ascii="Times New Roman" w:hAnsi="Times New Roman" w:eastAsia="仿宋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第一产业增加值比重（%）</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10.1</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8.7</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第二产业增加值比重（%）</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35.4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35.3</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第三产业增加值比重（%）</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54.5</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56.0</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全社会固定资产投资增速（%）</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4.4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2.4</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进出口总额（亿元）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9574.9</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10457.2</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b w:val="0"/>
                <w:color w:val="000000"/>
                <w:sz w:val="24"/>
                <w:szCs w:val="24"/>
                <w:lang w:val="en-US" w:eastAsia="zh-CN"/>
              </w:rPr>
              <w:t>10318.1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出口额（亿元）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6033.9</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6177.7</w:t>
            </w:r>
          </w:p>
        </w:tc>
        <w:tc>
          <w:tcPr>
            <w:tcW w:w="1534" w:type="dxa"/>
            <w:gridSpan w:val="3"/>
            <w:noWrap/>
            <w:vAlign w:val="center"/>
          </w:tcPr>
          <w:p>
            <w:pPr>
              <w:spacing w:line="240" w:lineRule="auto"/>
              <w:ind w:firstLine="0" w:firstLineChars="0"/>
              <w:jc w:val="right"/>
              <w:rPr>
                <w:rFonts w:hint="default" w:ascii="Times New Roman" w:hAnsi="Times New Roman" w:eastAsia="仿宋_GB2312" w:cs="Times New Roman"/>
                <w:kern w:val="2"/>
                <w:sz w:val="24"/>
                <w:szCs w:val="24"/>
                <w:highlight w:val="none"/>
                <w:lang w:val="en" w:eastAsia="zh-CN" w:bidi="ar-SA"/>
              </w:rPr>
            </w:pPr>
            <w:r>
              <w:rPr>
                <w:rFonts w:hint="eastAsia" w:ascii="Times New Roman" w:hAnsi="Times New Roman" w:eastAsia="仿宋_GB2312" w:cs="Times New Roman"/>
                <w:b w:val="0"/>
                <w:color w:val="000000"/>
                <w:sz w:val="24"/>
                <w:szCs w:val="24"/>
                <w:lang w:val="en-US" w:eastAsia="zh-CN"/>
              </w:rPr>
              <w:t>6086.5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进口额（亿元）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3541.0</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4279.5</w:t>
            </w:r>
          </w:p>
        </w:tc>
        <w:tc>
          <w:tcPr>
            <w:tcW w:w="1534" w:type="dxa"/>
            <w:gridSpan w:val="3"/>
            <w:noWrap/>
            <w:vAlign w:val="center"/>
          </w:tcPr>
          <w:p>
            <w:pPr>
              <w:spacing w:line="240" w:lineRule="auto"/>
              <w:ind w:firstLine="0" w:firstLineChars="0"/>
              <w:jc w:val="right"/>
              <w:rPr>
                <w:rFonts w:hint="default" w:ascii="Times New Roman" w:hAnsi="Times New Roman" w:eastAsia="仿宋_GB2312" w:cs="Times New Roman"/>
                <w:kern w:val="2"/>
                <w:sz w:val="24"/>
                <w:szCs w:val="24"/>
                <w:highlight w:val="none"/>
                <w:lang w:val="en" w:eastAsia="zh-CN" w:bidi="ar-SA"/>
              </w:rPr>
            </w:pPr>
            <w:r>
              <w:rPr>
                <w:rFonts w:hint="eastAsia" w:ascii="Times New Roman" w:hAnsi="Times New Roman" w:eastAsia="仿宋_GB2312" w:cs="Times New Roman"/>
                <w:b w:val="0"/>
                <w:color w:val="000000"/>
                <w:sz w:val="24"/>
                <w:szCs w:val="24"/>
                <w:lang w:val="en-US" w:eastAsia="zh-CN"/>
              </w:rPr>
              <w:t>4231.6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社会消费品零售总额（亿元）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26313.4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27709.8</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8"/>
                <w:szCs w:val="28"/>
                <w:highlight w:val="yellow"/>
                <w:lang w:val="en-US" w:eastAsia="zh-CN" w:bidi="ar-SA"/>
              </w:rPr>
            </w:pPr>
            <w:r>
              <w:rPr>
                <w:rFonts w:hint="eastAsia" w:ascii="Times New Roman" w:hAnsi="Times New Roman" w:eastAsia="仿宋_GB2312" w:cs="Times New Roman"/>
                <w:b w:val="0"/>
                <w:color w:val="000000"/>
                <w:sz w:val="24"/>
                <w:szCs w:val="24"/>
                <w:lang w:val="en-US" w:eastAsia="zh-CN"/>
              </w:rPr>
              <w:t>29135.4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城镇居民人均可支配收入（元）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45227</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47336</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49</w:t>
            </w:r>
            <w:r>
              <w:rPr>
                <w:rFonts w:hint="eastAsia" w:cs="Times New Roman"/>
                <w:kern w:val="2"/>
                <w:sz w:val="24"/>
                <w:szCs w:val="24"/>
                <w:highlight w:val="none"/>
                <w:lang w:val="en-US" w:eastAsia="zh-CN" w:bidi="ar-SA"/>
              </w:rPr>
              <w:t>428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农村居民人均可支配收入（元）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19978</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21303</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22494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居民消费价格指数（上年＝100）</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100.0</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100.0</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工业生产者出厂价格指数（上年＝100）</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97.6</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97.9</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default" w:cs="Times New Roman"/>
                <w:sz w:val="24"/>
                <w:highlight w:val="none"/>
                <w:lang w:val="en" w:eastAsia="zh-CN"/>
              </w:rPr>
              <w:t>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工业生产者购进价格指数（上年＝100）</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97.1</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97.3</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default" w:cs="Times New Roman"/>
                <w:sz w:val="24"/>
                <w:highlight w:val="none"/>
                <w:lang w:val="en" w:eastAsia="zh-CN"/>
              </w:rPr>
              <w:t>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金融机构各项存款余额（本外币）（</w:t>
            </w:r>
            <w:r>
              <w:rPr>
                <w:rFonts w:hint="eastAsia" w:cs="Times New Roman"/>
                <w:kern w:val="0"/>
                <w:sz w:val="24"/>
                <w:highlight w:val="none"/>
                <w:lang w:val="en-US" w:eastAsia="zh-CN"/>
              </w:rPr>
              <w:t>万</w:t>
            </w:r>
            <w:r>
              <w:rPr>
                <w:rFonts w:hint="default" w:ascii="Times New Roman" w:hAnsi="Times New Roman" w:cs="Times New Roman"/>
                <w:kern w:val="0"/>
                <w:sz w:val="24"/>
                <w:highlight w:val="none"/>
              </w:rPr>
              <w:t>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12</w:t>
            </w:r>
            <w:r>
              <w:rPr>
                <w:rFonts w:hint="eastAsia" w:cs="Times New Roman"/>
                <w:sz w:val="24"/>
                <w:highlight w:val="none"/>
                <w:lang w:val="en-US" w:eastAsia="zh-CN"/>
              </w:rPr>
              <w:t>.3</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13.3</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default" w:cs="Times New Roman"/>
                <w:sz w:val="24"/>
                <w:highlight w:val="none"/>
                <w:lang w:val="en" w:eastAsia="zh-CN"/>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金融机构各项贷款余额（本外币）（</w:t>
            </w:r>
            <w:r>
              <w:rPr>
                <w:rFonts w:hint="eastAsia" w:cs="Times New Roman"/>
                <w:kern w:val="0"/>
                <w:sz w:val="24"/>
                <w:highlight w:val="none"/>
                <w:lang w:val="en-US" w:eastAsia="zh-CN"/>
              </w:rPr>
              <w:t>万</w:t>
            </w:r>
            <w:r>
              <w:rPr>
                <w:rFonts w:hint="default" w:ascii="Times New Roman" w:hAnsi="Times New Roman" w:cs="Times New Roman"/>
                <w:kern w:val="0"/>
                <w:sz w:val="24"/>
                <w:highlight w:val="none"/>
              </w:rPr>
              <w:t>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10</w:t>
            </w:r>
            <w:r>
              <w:rPr>
                <w:rFonts w:hint="eastAsia" w:cs="Times New Roman"/>
                <w:sz w:val="24"/>
                <w:highlight w:val="none"/>
                <w:lang w:val="en-US" w:eastAsia="zh-CN"/>
              </w:rPr>
              <w:t>.6</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11.7</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default" w:cs="Times New Roman"/>
                <w:sz w:val="24"/>
                <w:highlight w:val="none"/>
                <w:lang w:val="en" w:eastAsia="zh-CN"/>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9723" w:type="dxa"/>
            <w:gridSpan w:val="13"/>
            <w:noWrap w:val="0"/>
            <w:vAlign w:val="center"/>
          </w:tcPr>
          <w:p>
            <w:pPr>
              <w:widowControl/>
              <w:spacing w:line="400" w:lineRule="exact"/>
              <w:ind w:firstLine="482"/>
              <w:rPr>
                <w:rFonts w:hint="default" w:ascii="Times New Roman" w:hAnsi="Times New Roman" w:cs="Times New Roman"/>
                <w:b/>
                <w:kern w:val="0"/>
                <w:sz w:val="24"/>
                <w:highlight w:val="none"/>
              </w:rPr>
            </w:pPr>
            <w:r>
              <w:rPr>
                <w:rFonts w:hint="default" w:ascii="Times New Roman" w:hAnsi="Times New Roman" w:cs="Times New Roman"/>
                <w:b/>
                <w:kern w:val="0"/>
                <w:sz w:val="24"/>
                <w:highlight w:val="none"/>
              </w:rPr>
              <w:t xml:space="preserve">  二、财政收支状况（亿元）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723" w:type="dxa"/>
            <w:gridSpan w:val="13"/>
            <w:noWrap w:val="0"/>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（一）近三年一般公共预算收支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3098" w:type="dxa"/>
            <w:vMerge w:val="restart"/>
            <w:noWrap w:val="0"/>
            <w:vAlign w:val="center"/>
          </w:tcPr>
          <w:p>
            <w:pPr>
              <w:widowControl/>
              <w:spacing w:line="400" w:lineRule="exact"/>
              <w:ind w:firstLine="480"/>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mc:AlternateContent>
                <mc:Choice Requires="wps">
                  <w:drawing>
                    <wp:anchor distT="0" distB="0" distL="114300" distR="114300" simplePos="0" relativeHeight="251660288" behindDoc="0" locked="0" layoutInCell="1" allowOverlap="1">
                      <wp:simplePos x="0" y="0"/>
                      <wp:positionH relativeFrom="column">
                        <wp:posOffset>-61595</wp:posOffset>
                      </wp:positionH>
                      <wp:positionV relativeFrom="paragraph">
                        <wp:posOffset>-6350</wp:posOffset>
                      </wp:positionV>
                      <wp:extent cx="1960245" cy="610870"/>
                      <wp:effectExtent l="1270" t="4445" r="19685" b="13335"/>
                      <wp:wrapNone/>
                      <wp:docPr id="3" name="直接箭头连接符 3"/>
                      <wp:cNvGraphicFramePr/>
                      <a:graphic xmlns:a="http://schemas.openxmlformats.org/drawingml/2006/main">
                        <a:graphicData uri="http://schemas.microsoft.com/office/word/2010/wordprocessingShape">
                          <wps:wsp>
                            <wps:cNvCnPr/>
                            <wps:spPr>
                              <a:xfrm>
                                <a:off x="0" y="0"/>
                                <a:ext cx="1960245" cy="61087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85pt;margin-top:-0.5pt;height:48.1pt;width:154.35pt;z-index:251660288;mso-width-relative:page;mso-height-relative:page;" filled="f" stroked="t" coordsize="21600,21600" o:gfxdata="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NFcnCXXAAAACAEAAA8AAAAAAAAAAQAgAAAAOAAAAGRycy9k&#10;b3ducmV2LnhtbFBLAQIUABQAAAAIAIdO4kAowvI07QEAALEDAAAOAAAAAAAAAAEAIAAAADwBAABk&#10;cnMvZTJvRG9jLnhtbFBLBQYAAAAABgAGAFkBAACbBQAAAAA=&#10;">
                      <v:fill on="f" focussize="0,0"/>
                      <v:stroke color="#000000" joinstyle="round"/>
                      <v:imagedata o:title=""/>
                      <o:lock v:ext="edit" aspectratio="f"/>
                    </v:shape>
                  </w:pict>
                </mc:Fallback>
              </mc:AlternateContent>
            </w:r>
            <w:r>
              <w:rPr>
                <w:rFonts w:hint="default" w:ascii="Times New Roman" w:hAnsi="Times New Roman" w:eastAsia="仿宋_GB2312" w:cs="Times New Roman"/>
                <w:kern w:val="0"/>
                <w:sz w:val="24"/>
                <w:highlight w:val="none"/>
              </w:rPr>
              <w:t xml:space="preserve">           年份</w:t>
            </w:r>
          </w:p>
          <w:p>
            <w:pPr>
              <w:spacing w:line="400" w:lineRule="exact"/>
              <w:ind w:firstLine="480"/>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项目</w:t>
            </w:r>
          </w:p>
        </w:tc>
        <w:tc>
          <w:tcPr>
            <w:tcW w:w="2282" w:type="dxa"/>
            <w:gridSpan w:val="5"/>
            <w:noWrap/>
            <w:vAlign w:val="center"/>
          </w:tcPr>
          <w:p>
            <w:pPr>
              <w:widowControl/>
              <w:spacing w:line="400" w:lineRule="exact"/>
              <w:ind w:firstLine="480" w:firstLineChars="0"/>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202</w:t>
            </w:r>
            <w:r>
              <w:rPr>
                <w:rFonts w:hint="eastAsia" w:cs="Times New Roman"/>
                <w:kern w:val="0"/>
                <w:sz w:val="24"/>
                <w:highlight w:val="none"/>
                <w:lang w:val="en-US" w:eastAsia="zh-CN"/>
              </w:rPr>
              <w:t>4</w:t>
            </w:r>
            <w:r>
              <w:rPr>
                <w:rFonts w:hint="default" w:ascii="Times New Roman" w:hAnsi="Times New Roman" w:eastAsia="仿宋_GB2312" w:cs="Times New Roman"/>
                <w:kern w:val="0"/>
                <w:sz w:val="24"/>
                <w:highlight w:val="none"/>
              </w:rPr>
              <w:t>年</w:t>
            </w:r>
          </w:p>
        </w:tc>
        <w:tc>
          <w:tcPr>
            <w:tcW w:w="2213" w:type="dxa"/>
            <w:gridSpan w:val="3"/>
            <w:noWrap/>
            <w:vAlign w:val="center"/>
          </w:tcPr>
          <w:p>
            <w:pPr>
              <w:widowControl/>
              <w:spacing w:line="400" w:lineRule="exact"/>
              <w:ind w:firstLine="480" w:firstLineChars="0"/>
              <w:jc w:val="center"/>
              <w:rPr>
                <w:rFonts w:hint="default" w:ascii="Times New Roman" w:hAnsi="Times New Roman" w:eastAsia="仿宋_GB2312" w:cs="Times New Roman"/>
                <w:kern w:val="0"/>
                <w:sz w:val="24"/>
                <w:highlight w:val="none"/>
              </w:rPr>
            </w:pPr>
            <w:r>
              <w:rPr>
                <w:rFonts w:hint="eastAsia" w:cs="Times New Roman"/>
                <w:kern w:val="0"/>
                <w:sz w:val="24"/>
                <w:highlight w:val="none"/>
                <w:lang w:val="en" w:eastAsia="zh-CN"/>
              </w:rPr>
              <w:t>202</w:t>
            </w:r>
            <w:r>
              <w:rPr>
                <w:rFonts w:hint="eastAsia" w:cs="Times New Roman"/>
                <w:kern w:val="0"/>
                <w:sz w:val="24"/>
                <w:highlight w:val="none"/>
                <w:lang w:val="en-US" w:eastAsia="zh-CN"/>
              </w:rPr>
              <w:t>5</w:t>
            </w:r>
            <w:r>
              <w:rPr>
                <w:rFonts w:hint="eastAsia" w:cs="Times New Roman"/>
                <w:kern w:val="0"/>
                <w:sz w:val="24"/>
                <w:highlight w:val="none"/>
                <w:lang w:val="en" w:eastAsia="zh-CN"/>
              </w:rPr>
              <w:t>年</w:t>
            </w:r>
          </w:p>
        </w:tc>
        <w:tc>
          <w:tcPr>
            <w:tcW w:w="2130" w:type="dxa"/>
            <w:gridSpan w:val="4"/>
            <w:noWrap/>
            <w:vAlign w:val="center"/>
          </w:tcPr>
          <w:p>
            <w:pPr>
              <w:widowControl/>
              <w:spacing w:line="400" w:lineRule="exact"/>
              <w:ind w:firstLine="480" w:firstLineChars="0"/>
              <w:jc w:val="center"/>
              <w:rPr>
                <w:rFonts w:hint="eastAsia" w:ascii="Times New Roman" w:hAnsi="Times New Roman" w:eastAsia="仿宋_GB2312" w:cs="Times New Roman"/>
                <w:kern w:val="0"/>
                <w:sz w:val="24"/>
                <w:highlight w:val="none"/>
                <w:lang w:val="en" w:eastAsia="zh-CN"/>
              </w:rPr>
            </w:pPr>
            <w:r>
              <w:rPr>
                <w:rFonts w:hint="eastAsia" w:cs="Times New Roman"/>
                <w:kern w:val="0"/>
                <w:sz w:val="24"/>
                <w:highlight w:val="none"/>
                <w:lang w:val="en" w:eastAsia="zh-CN"/>
              </w:rPr>
              <w:t>202</w:t>
            </w:r>
            <w:r>
              <w:rPr>
                <w:rFonts w:hint="eastAsia" w:cs="Times New Roman"/>
                <w:kern w:val="0"/>
                <w:sz w:val="24"/>
                <w:highlight w:val="none"/>
                <w:lang w:val="en-US" w:eastAsia="zh-CN"/>
              </w:rPr>
              <w:t>6</w:t>
            </w:r>
            <w:r>
              <w:rPr>
                <w:rFonts w:hint="eastAsia" w:cs="Times New Roman"/>
                <w:kern w:val="0"/>
                <w:sz w:val="24"/>
                <w:highlight w:val="none"/>
                <w:lang w:val="en"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3098" w:type="dxa"/>
            <w:vMerge w:val="continue"/>
            <w:noWrap w:val="0"/>
            <w:vAlign w:val="center"/>
          </w:tcPr>
          <w:p>
            <w:pPr>
              <w:widowControl/>
              <w:spacing w:line="400" w:lineRule="exact"/>
              <w:ind w:firstLine="480"/>
              <w:jc w:val="center"/>
              <w:rPr>
                <w:rFonts w:hint="default" w:ascii="Times New Roman" w:hAnsi="Times New Roman" w:eastAsia="仿宋_GB2312" w:cs="Times New Roman"/>
                <w:kern w:val="0"/>
                <w:sz w:val="24"/>
                <w:highlight w:val="none"/>
              </w:rPr>
            </w:pPr>
          </w:p>
        </w:tc>
        <w:tc>
          <w:tcPr>
            <w:tcW w:w="1120" w:type="dxa"/>
            <w:noWrap/>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省本级</w:t>
            </w:r>
          </w:p>
        </w:tc>
        <w:tc>
          <w:tcPr>
            <w:tcW w:w="1162" w:type="dxa"/>
            <w:gridSpan w:val="4"/>
            <w:noWrap w:val="0"/>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全省</w:t>
            </w:r>
          </w:p>
        </w:tc>
        <w:tc>
          <w:tcPr>
            <w:tcW w:w="1031" w:type="dxa"/>
            <w:noWrap/>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省本级</w:t>
            </w:r>
          </w:p>
        </w:tc>
        <w:tc>
          <w:tcPr>
            <w:tcW w:w="1182" w:type="dxa"/>
            <w:gridSpan w:val="2"/>
            <w:noWrap w:val="0"/>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全省</w:t>
            </w:r>
          </w:p>
        </w:tc>
        <w:tc>
          <w:tcPr>
            <w:tcW w:w="993" w:type="dxa"/>
            <w:gridSpan w:val="2"/>
            <w:noWrap/>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省本级</w:t>
            </w:r>
          </w:p>
        </w:tc>
        <w:tc>
          <w:tcPr>
            <w:tcW w:w="1137" w:type="dxa"/>
            <w:gridSpan w:val="2"/>
            <w:noWrap w:val="0"/>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全省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一般公共预算收入</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975.7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5635.6 </w:t>
            </w:r>
          </w:p>
        </w:tc>
        <w:tc>
          <w:tcPr>
            <w:tcW w:w="1031" w:type="dxa"/>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1018.0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5853.9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1030.0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5971.0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一般公共预算支出</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2241.9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13447.2 </w:t>
            </w:r>
          </w:p>
        </w:tc>
        <w:tc>
          <w:tcPr>
            <w:tcW w:w="1031" w:type="dxa"/>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2281.6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13697.6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2425.7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14136.9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转移性收入</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7863.7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9803.1 </w:t>
            </w:r>
          </w:p>
        </w:tc>
        <w:tc>
          <w:tcPr>
            <w:tcW w:w="1031" w:type="dxa"/>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7792.8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9764.1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7201.8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8060.4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转移性支出</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7197.8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929.7 </w:t>
            </w:r>
          </w:p>
        </w:tc>
        <w:tc>
          <w:tcPr>
            <w:tcW w:w="1031" w:type="dxa"/>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7330.9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844.8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6577.7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地方政府一般债券收入</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1061.7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1061.7 </w:t>
            </w:r>
          </w:p>
        </w:tc>
        <w:tc>
          <w:tcPr>
            <w:tcW w:w="1031" w:type="dxa"/>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1350.0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1350.0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905.7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905.7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9723" w:type="dxa"/>
            <w:gridSpan w:val="13"/>
            <w:noWrap w:val="0"/>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（二）近三年政府性基金</w:t>
            </w:r>
            <w:r>
              <w:rPr>
                <w:rFonts w:hint="default" w:ascii="Times New Roman" w:hAnsi="Times New Roman" w:eastAsia="仿宋_GB2312" w:cs="Times New Roman"/>
                <w:b/>
                <w:kern w:val="0"/>
                <w:sz w:val="24"/>
                <w:highlight w:val="none"/>
                <w:lang w:eastAsia="zh-CN"/>
              </w:rPr>
              <w:t>预算</w:t>
            </w:r>
            <w:r>
              <w:rPr>
                <w:rFonts w:hint="default" w:ascii="Times New Roman" w:hAnsi="Times New Roman" w:eastAsia="仿宋_GB2312" w:cs="Times New Roman"/>
                <w:b/>
                <w:kern w:val="0"/>
                <w:sz w:val="24"/>
                <w:highlight w:val="none"/>
              </w:rPr>
              <w:t>收支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政府性基金</w:t>
            </w:r>
            <w:r>
              <w:rPr>
                <w:rFonts w:hint="default" w:ascii="Times New Roman" w:hAnsi="Times New Roman" w:cs="Times New Roman"/>
                <w:kern w:val="0"/>
                <w:sz w:val="24"/>
                <w:highlight w:val="none"/>
                <w:lang w:eastAsia="zh-CN"/>
              </w:rPr>
              <w:t>预算</w:t>
            </w:r>
            <w:r>
              <w:rPr>
                <w:rFonts w:hint="default" w:ascii="Times New Roman" w:hAnsi="Times New Roman" w:eastAsia="仿宋_GB2312" w:cs="Times New Roman"/>
                <w:kern w:val="0"/>
                <w:sz w:val="24"/>
                <w:highlight w:val="none"/>
              </w:rPr>
              <w:t>收入</w:t>
            </w:r>
          </w:p>
        </w:tc>
        <w:tc>
          <w:tcPr>
            <w:tcW w:w="1169"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131.9 </w:t>
            </w:r>
          </w:p>
        </w:tc>
        <w:tc>
          <w:tcPr>
            <w:tcW w:w="1113" w:type="dxa"/>
            <w:gridSpan w:val="3"/>
            <w:noWrap w:val="0"/>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3761.2 </w:t>
            </w:r>
          </w:p>
        </w:tc>
        <w:tc>
          <w:tcPr>
            <w:tcW w:w="1087"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24"/>
                <w:highlight w:val="yellow"/>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139.0 </w:t>
            </w:r>
          </w:p>
        </w:tc>
        <w:tc>
          <w:tcPr>
            <w:tcW w:w="1126" w:type="dxa"/>
            <w:noWrap w:val="0"/>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24"/>
                <w:highlight w:val="yellow"/>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3789.3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128.0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政府性基金</w:t>
            </w:r>
            <w:r>
              <w:rPr>
                <w:rFonts w:hint="default" w:ascii="Times New Roman" w:hAnsi="Times New Roman" w:cs="Times New Roman"/>
                <w:kern w:val="0"/>
                <w:sz w:val="24"/>
                <w:highlight w:val="none"/>
                <w:lang w:eastAsia="zh-CN"/>
              </w:rPr>
              <w:t>预算</w:t>
            </w:r>
            <w:r>
              <w:rPr>
                <w:rFonts w:hint="default" w:ascii="Times New Roman" w:hAnsi="Times New Roman" w:eastAsia="仿宋_GB2312" w:cs="Times New Roman"/>
                <w:kern w:val="0"/>
                <w:sz w:val="24"/>
                <w:highlight w:val="none"/>
              </w:rPr>
              <w:t>支出</w:t>
            </w:r>
          </w:p>
        </w:tc>
        <w:tc>
          <w:tcPr>
            <w:tcW w:w="1169"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160.8 </w:t>
            </w:r>
          </w:p>
        </w:tc>
        <w:tc>
          <w:tcPr>
            <w:tcW w:w="1113" w:type="dxa"/>
            <w:gridSpan w:val="3"/>
            <w:noWrap w:val="0"/>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6025.5 </w:t>
            </w:r>
          </w:p>
        </w:tc>
        <w:tc>
          <w:tcPr>
            <w:tcW w:w="1087"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24"/>
                <w:highlight w:val="yellow"/>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112.7 </w:t>
            </w:r>
          </w:p>
        </w:tc>
        <w:tc>
          <w:tcPr>
            <w:tcW w:w="1126" w:type="dxa"/>
            <w:noWrap w:val="0"/>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24"/>
                <w:highlight w:val="yellow"/>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5918.6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112.6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5700.8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地方政府专项债券收入</w:t>
            </w:r>
          </w:p>
        </w:tc>
        <w:tc>
          <w:tcPr>
            <w:tcW w:w="1169"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4017.5 </w:t>
            </w:r>
          </w:p>
        </w:tc>
        <w:tc>
          <w:tcPr>
            <w:tcW w:w="1113" w:type="dxa"/>
            <w:gridSpan w:val="3"/>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4017.5 </w:t>
            </w:r>
          </w:p>
        </w:tc>
        <w:tc>
          <w:tcPr>
            <w:tcW w:w="1087"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color w:val="auto"/>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3927.4 </w:t>
            </w:r>
          </w:p>
        </w:tc>
        <w:tc>
          <w:tcPr>
            <w:tcW w:w="1126" w:type="dxa"/>
            <w:noWrap w:val="0"/>
            <w:vAlign w:val="center"/>
          </w:tcPr>
          <w:p>
            <w:pPr>
              <w:keepNext w:val="0"/>
              <w:keepLines w:val="0"/>
              <w:widowControl/>
              <w:suppressLineNumbers w:val="0"/>
              <w:jc w:val="right"/>
              <w:textAlignment w:val="center"/>
              <w:rPr>
                <w:rFonts w:hint="default" w:ascii="Times New Roman" w:hAnsi="Times New Roman" w:eastAsia="仿宋_GB2312" w:cs="Times New Roman"/>
                <w:color w:val="auto"/>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3927.4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2893.5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2893.5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exact"/>
          <w:jc w:val="center"/>
        </w:trPr>
        <w:tc>
          <w:tcPr>
            <w:tcW w:w="9723" w:type="dxa"/>
            <w:gridSpan w:val="13"/>
            <w:noWrap w:val="0"/>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（三）近三年国有资本经营预算收支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国有资本经营预算收入</w:t>
            </w:r>
          </w:p>
        </w:tc>
        <w:tc>
          <w:tcPr>
            <w:tcW w:w="1169" w:type="dxa"/>
            <w:gridSpan w:val="2"/>
            <w:noWrap/>
            <w:vAlign w:val="center"/>
          </w:tcPr>
          <w:p>
            <w:pPr>
              <w:widowControl/>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31.3</w:t>
            </w:r>
          </w:p>
        </w:tc>
        <w:tc>
          <w:tcPr>
            <w:tcW w:w="1113" w:type="dxa"/>
            <w:gridSpan w:val="3"/>
            <w:noWrap w:val="0"/>
            <w:vAlign w:val="center"/>
          </w:tcPr>
          <w:p>
            <w:pPr>
              <w:widowControl/>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201.8</w:t>
            </w:r>
          </w:p>
        </w:tc>
        <w:tc>
          <w:tcPr>
            <w:tcW w:w="1087" w:type="dxa"/>
            <w:gridSpan w:val="2"/>
            <w:noWrap/>
            <w:vAlign w:val="center"/>
          </w:tcPr>
          <w:p>
            <w:pPr>
              <w:widowControl/>
              <w:spacing w:line="240" w:lineRule="exact"/>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33.7</w:t>
            </w:r>
          </w:p>
        </w:tc>
        <w:tc>
          <w:tcPr>
            <w:tcW w:w="1126" w:type="dxa"/>
            <w:noWrap w:val="0"/>
            <w:vAlign w:val="center"/>
          </w:tcPr>
          <w:p>
            <w:pPr>
              <w:widowControl/>
              <w:spacing w:line="240" w:lineRule="exact"/>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227</w:t>
            </w:r>
          </w:p>
        </w:tc>
        <w:tc>
          <w:tcPr>
            <w:tcW w:w="1020" w:type="dxa"/>
            <w:gridSpan w:val="3"/>
            <w:noWrap/>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28</w:t>
            </w:r>
          </w:p>
        </w:tc>
        <w:tc>
          <w:tcPr>
            <w:tcW w:w="1110" w:type="dxa"/>
            <w:noWrap w:val="0"/>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国有资本经营预算支出</w:t>
            </w:r>
          </w:p>
        </w:tc>
        <w:tc>
          <w:tcPr>
            <w:tcW w:w="1169" w:type="dxa"/>
            <w:gridSpan w:val="2"/>
            <w:noWrap/>
            <w:vAlign w:val="center"/>
          </w:tcPr>
          <w:p>
            <w:pPr>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16.4</w:t>
            </w:r>
          </w:p>
        </w:tc>
        <w:tc>
          <w:tcPr>
            <w:tcW w:w="1113" w:type="dxa"/>
            <w:gridSpan w:val="3"/>
            <w:noWrap w:val="0"/>
            <w:vAlign w:val="center"/>
          </w:tcPr>
          <w:p>
            <w:pPr>
              <w:widowControl/>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90.8</w:t>
            </w:r>
          </w:p>
        </w:tc>
        <w:tc>
          <w:tcPr>
            <w:tcW w:w="1087" w:type="dxa"/>
            <w:gridSpan w:val="2"/>
            <w:noWrap/>
            <w:vAlign w:val="center"/>
          </w:tcPr>
          <w:p>
            <w:pPr>
              <w:widowControl/>
              <w:spacing w:line="240" w:lineRule="exact"/>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20.0</w:t>
            </w:r>
          </w:p>
        </w:tc>
        <w:tc>
          <w:tcPr>
            <w:tcW w:w="1126" w:type="dxa"/>
            <w:noWrap w:val="0"/>
            <w:vAlign w:val="center"/>
          </w:tcPr>
          <w:p>
            <w:pPr>
              <w:widowControl/>
              <w:spacing w:line="240" w:lineRule="exact"/>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92.6</w:t>
            </w:r>
          </w:p>
        </w:tc>
        <w:tc>
          <w:tcPr>
            <w:tcW w:w="1020" w:type="dxa"/>
            <w:gridSpan w:val="3"/>
            <w:noWrap/>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19.7</w:t>
            </w:r>
          </w:p>
        </w:tc>
        <w:tc>
          <w:tcPr>
            <w:tcW w:w="1110" w:type="dxa"/>
            <w:noWrap w:val="0"/>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723" w:type="dxa"/>
            <w:gridSpan w:val="13"/>
            <w:noWrap w:val="0"/>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（四）近三年地方政府</w:t>
            </w:r>
            <w:r>
              <w:rPr>
                <w:rFonts w:hint="eastAsia" w:ascii="Times New Roman" w:hAnsi="Times New Roman" w:eastAsia="仿宋_GB2312" w:cs="Times New Roman"/>
                <w:b/>
                <w:kern w:val="0"/>
                <w:sz w:val="24"/>
                <w:highlight w:val="none"/>
                <w:lang w:eastAsia="zh-CN"/>
              </w:rPr>
              <w:t>债务</w:t>
            </w:r>
            <w:r>
              <w:rPr>
                <w:rFonts w:hint="default" w:ascii="Times New Roman" w:hAnsi="Times New Roman" w:eastAsia="仿宋_GB2312" w:cs="Times New Roman"/>
                <w:b/>
                <w:kern w:val="0"/>
                <w:sz w:val="24"/>
                <w:highlight w:val="none"/>
              </w:rPr>
              <w:t>还本支出情况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地方政府一般</w:t>
            </w:r>
            <w:r>
              <w:rPr>
                <w:rFonts w:hint="eastAsia" w:cs="Times New Roman"/>
                <w:kern w:val="0"/>
                <w:sz w:val="24"/>
                <w:highlight w:val="none"/>
                <w:lang w:eastAsia="zh-CN"/>
              </w:rPr>
              <w:t>债务</w:t>
            </w:r>
            <w:r>
              <w:rPr>
                <w:rFonts w:hint="default" w:ascii="Times New Roman" w:hAnsi="Times New Roman" w:eastAsia="仿宋_GB2312" w:cs="Times New Roman"/>
                <w:kern w:val="0"/>
                <w:sz w:val="24"/>
                <w:highlight w:val="none"/>
              </w:rPr>
              <w:t>还本支出</w:t>
            </w:r>
          </w:p>
        </w:tc>
        <w:tc>
          <w:tcPr>
            <w:tcW w:w="1169" w:type="dxa"/>
            <w:gridSpan w:val="2"/>
            <w:noWrap/>
            <w:vAlign w:val="center"/>
          </w:tcPr>
          <w:p>
            <w:pPr>
              <w:widowControl/>
              <w:spacing w:line="240" w:lineRule="exact"/>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82.8</w:t>
            </w:r>
          </w:p>
        </w:tc>
        <w:tc>
          <w:tcPr>
            <w:tcW w:w="1113" w:type="dxa"/>
            <w:gridSpan w:val="3"/>
            <w:noWrap w:val="0"/>
            <w:vAlign w:val="center"/>
          </w:tcPr>
          <w:p>
            <w:pPr>
              <w:widowControl/>
              <w:spacing w:line="240" w:lineRule="exact"/>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731.7</w:t>
            </w:r>
          </w:p>
        </w:tc>
        <w:tc>
          <w:tcPr>
            <w:tcW w:w="1087" w:type="dxa"/>
            <w:gridSpan w:val="2"/>
            <w:noWrap/>
            <w:vAlign w:val="center"/>
          </w:tcPr>
          <w:p>
            <w:pPr>
              <w:widowControl/>
              <w:spacing w:line="240" w:lineRule="exact"/>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109.4</w:t>
            </w:r>
          </w:p>
        </w:tc>
        <w:tc>
          <w:tcPr>
            <w:tcW w:w="1126" w:type="dxa"/>
            <w:noWrap w:val="0"/>
            <w:vAlign w:val="center"/>
          </w:tcPr>
          <w:p>
            <w:pPr>
              <w:widowControl/>
              <w:spacing w:line="240" w:lineRule="exact"/>
              <w:jc w:val="center"/>
              <w:rPr>
                <w:rFonts w:hint="default" w:ascii="Times New Roman" w:hAnsi="Times New Roman" w:cs="Times New Roman"/>
                <w:color w:val="auto"/>
                <w:kern w:val="0"/>
                <w:sz w:val="24"/>
                <w:highlight w:val="none"/>
                <w:lang w:val="en-US" w:eastAsia="zh-CN"/>
              </w:rPr>
            </w:pPr>
            <w:r>
              <w:rPr>
                <w:rFonts w:hint="eastAsia" w:cs="Times New Roman"/>
                <w:color w:val="auto"/>
                <w:kern w:val="0"/>
                <w:sz w:val="24"/>
                <w:highlight w:val="none"/>
                <w:lang w:val="en-US" w:eastAsia="zh-CN"/>
              </w:rPr>
              <w:t>1009.8</w:t>
            </w:r>
          </w:p>
        </w:tc>
        <w:tc>
          <w:tcPr>
            <w:tcW w:w="1020" w:type="dxa"/>
            <w:gridSpan w:val="3"/>
            <w:noWrap/>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103.5</w:t>
            </w:r>
          </w:p>
        </w:tc>
        <w:tc>
          <w:tcPr>
            <w:tcW w:w="1110" w:type="dxa"/>
            <w:noWrap w:val="0"/>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720.6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地方政府专项</w:t>
            </w:r>
            <w:r>
              <w:rPr>
                <w:rFonts w:hint="eastAsia" w:cs="Times New Roman"/>
                <w:kern w:val="0"/>
                <w:sz w:val="24"/>
                <w:highlight w:val="none"/>
                <w:lang w:eastAsia="zh-CN"/>
              </w:rPr>
              <w:t>债务</w:t>
            </w:r>
            <w:r>
              <w:rPr>
                <w:rFonts w:hint="default" w:ascii="Times New Roman" w:hAnsi="Times New Roman" w:eastAsia="仿宋_GB2312" w:cs="Times New Roman"/>
                <w:kern w:val="0"/>
                <w:sz w:val="24"/>
                <w:highlight w:val="none"/>
              </w:rPr>
              <w:t>还本支出</w:t>
            </w:r>
          </w:p>
        </w:tc>
        <w:tc>
          <w:tcPr>
            <w:tcW w:w="1169" w:type="dxa"/>
            <w:gridSpan w:val="2"/>
            <w:noWrap/>
            <w:vAlign w:val="center"/>
          </w:tcPr>
          <w:p>
            <w:pPr>
              <w:widowControl/>
              <w:spacing w:line="240" w:lineRule="exact"/>
              <w:jc w:val="right"/>
              <w:rPr>
                <w:rFonts w:hint="eastAsia" w:ascii="Times New Roman" w:hAnsi="Times New Roman" w:eastAsia="仿宋_GB2312" w:cs="Times New Roman"/>
                <w:sz w:val="24"/>
                <w:highlight w:val="none"/>
                <w:lang w:val="en-US" w:eastAsia="zh-CN"/>
              </w:rPr>
            </w:pPr>
            <w:r>
              <w:rPr>
                <w:rFonts w:hint="eastAsia" w:cs="Times New Roman"/>
                <w:sz w:val="24"/>
                <w:highlight w:val="none"/>
                <w:lang w:val="en-US" w:eastAsia="zh-CN"/>
              </w:rPr>
              <w:t>0</w:t>
            </w:r>
          </w:p>
        </w:tc>
        <w:tc>
          <w:tcPr>
            <w:tcW w:w="1113" w:type="dxa"/>
            <w:gridSpan w:val="3"/>
            <w:noWrap w:val="0"/>
            <w:vAlign w:val="center"/>
          </w:tcPr>
          <w:p>
            <w:pPr>
              <w:widowControl/>
              <w:spacing w:line="240" w:lineRule="exact"/>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1977.4</w:t>
            </w:r>
          </w:p>
        </w:tc>
        <w:tc>
          <w:tcPr>
            <w:tcW w:w="1087" w:type="dxa"/>
            <w:gridSpan w:val="2"/>
            <w:noWrap/>
            <w:vAlign w:val="center"/>
          </w:tcPr>
          <w:p>
            <w:pPr>
              <w:widowControl/>
              <w:spacing w:line="240" w:lineRule="exact"/>
              <w:jc w:val="right"/>
              <w:rPr>
                <w:rFonts w:hint="eastAsia" w:ascii="Times New Roman" w:hAnsi="Times New Roman" w:eastAsia="仿宋_GB2312" w:cs="Times New Roman"/>
                <w:sz w:val="24"/>
                <w:highlight w:val="none"/>
                <w:lang w:val="en-US" w:eastAsia="zh-CN"/>
              </w:rPr>
            </w:pPr>
            <w:r>
              <w:rPr>
                <w:rFonts w:hint="eastAsia" w:cs="Times New Roman"/>
                <w:sz w:val="24"/>
                <w:highlight w:val="none"/>
                <w:lang w:val="en-US" w:eastAsia="zh-CN"/>
              </w:rPr>
              <w:t>0</w:t>
            </w:r>
          </w:p>
        </w:tc>
        <w:tc>
          <w:tcPr>
            <w:tcW w:w="1126" w:type="dxa"/>
            <w:noWrap w:val="0"/>
            <w:vAlign w:val="center"/>
          </w:tcPr>
          <w:p>
            <w:pPr>
              <w:widowControl/>
              <w:spacing w:line="240" w:lineRule="exact"/>
              <w:jc w:val="right"/>
              <w:rPr>
                <w:rFonts w:hint="default" w:ascii="Times New Roman" w:hAnsi="Times New Roman" w:cs="Times New Roman"/>
                <w:color w:val="auto"/>
                <w:kern w:val="0"/>
                <w:sz w:val="24"/>
                <w:highlight w:val="none"/>
                <w:lang w:val="en-US" w:eastAsia="zh-CN"/>
              </w:rPr>
            </w:pPr>
            <w:r>
              <w:rPr>
                <w:rFonts w:hint="eastAsia" w:cs="Times New Roman"/>
                <w:color w:val="auto"/>
                <w:kern w:val="0"/>
                <w:sz w:val="24"/>
                <w:highlight w:val="none"/>
                <w:lang w:val="en-US" w:eastAsia="zh-CN"/>
              </w:rPr>
              <w:t>1570.6</w:t>
            </w:r>
          </w:p>
        </w:tc>
        <w:tc>
          <w:tcPr>
            <w:tcW w:w="1020" w:type="dxa"/>
            <w:gridSpan w:val="3"/>
            <w:noWrap/>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0</w:t>
            </w:r>
          </w:p>
        </w:tc>
        <w:tc>
          <w:tcPr>
            <w:tcW w:w="1110" w:type="dxa"/>
            <w:noWrap w:val="0"/>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1594.5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exact"/>
          <w:jc w:val="center"/>
        </w:trPr>
        <w:tc>
          <w:tcPr>
            <w:tcW w:w="9723" w:type="dxa"/>
            <w:gridSpan w:val="13"/>
            <w:noWrap/>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三、地方政府债务状况（亿元）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730" w:type="dxa"/>
            <w:gridSpan w:val="4"/>
            <w:noWrap/>
            <w:vAlign w:val="center"/>
          </w:tcPr>
          <w:p>
            <w:pPr>
              <w:widowControl/>
              <w:spacing w:line="240" w:lineRule="exact"/>
              <w:ind w:firstLine="480"/>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截至202</w:t>
            </w:r>
            <w:r>
              <w:rPr>
                <w:rFonts w:hint="eastAsia" w:cs="Times New Roman"/>
                <w:kern w:val="0"/>
                <w:sz w:val="24"/>
                <w:highlight w:val="none"/>
                <w:lang w:val="en-US" w:eastAsia="zh-CN"/>
              </w:rPr>
              <w:t>5</w:t>
            </w:r>
            <w:r>
              <w:rPr>
                <w:rFonts w:hint="default" w:ascii="Times New Roman" w:hAnsi="Times New Roman" w:eastAsia="仿宋_GB2312" w:cs="Times New Roman"/>
                <w:kern w:val="0"/>
                <w:sz w:val="24"/>
                <w:highlight w:val="none"/>
              </w:rPr>
              <w:t>年底地方政府债务余额</w:t>
            </w:r>
          </w:p>
        </w:tc>
        <w:tc>
          <w:tcPr>
            <w:tcW w:w="4993" w:type="dxa"/>
            <w:gridSpan w:val="9"/>
            <w:noWrap/>
            <w:vAlign w:val="center"/>
          </w:tcPr>
          <w:p>
            <w:pPr>
              <w:widowControl/>
              <w:spacing w:line="240" w:lineRule="exact"/>
              <w:ind w:firstLine="480"/>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28015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730" w:type="dxa"/>
            <w:gridSpan w:val="4"/>
            <w:noWrap/>
            <w:vAlign w:val="center"/>
          </w:tcPr>
          <w:p>
            <w:pPr>
              <w:widowControl/>
              <w:spacing w:line="240" w:lineRule="exact"/>
              <w:ind w:firstLine="480"/>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202</w:t>
            </w:r>
            <w:r>
              <w:rPr>
                <w:rFonts w:hint="eastAsia" w:cs="Times New Roman"/>
                <w:kern w:val="0"/>
                <w:sz w:val="24"/>
                <w:highlight w:val="none"/>
                <w:lang w:val="en-US" w:eastAsia="zh-CN"/>
              </w:rPr>
              <w:t>5</w:t>
            </w:r>
            <w:r>
              <w:rPr>
                <w:rFonts w:hint="default" w:ascii="Times New Roman" w:hAnsi="Times New Roman" w:eastAsia="仿宋_GB2312" w:cs="Times New Roman"/>
                <w:kern w:val="0"/>
                <w:sz w:val="24"/>
                <w:highlight w:val="none"/>
              </w:rPr>
              <w:t>年地方政府债务限额</w:t>
            </w:r>
          </w:p>
        </w:tc>
        <w:tc>
          <w:tcPr>
            <w:tcW w:w="4993" w:type="dxa"/>
            <w:gridSpan w:val="9"/>
            <w:noWrap/>
            <w:vAlign w:val="center"/>
          </w:tcPr>
          <w:p>
            <w:pPr>
              <w:widowControl/>
              <w:spacing w:line="240" w:lineRule="exact"/>
              <w:ind w:firstLine="480"/>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29635.7</w:t>
            </w:r>
          </w:p>
        </w:tc>
      </w:tr>
    </w:tbl>
    <w:p>
      <w:pPr>
        <w:pStyle w:val="4"/>
        <w:snapToGrid w:val="0"/>
        <w:spacing w:line="300" w:lineRule="exact"/>
        <w:ind w:left="735" w:hanging="735" w:hangingChars="350"/>
        <w:rPr>
          <w:rFonts w:hint="default" w:ascii="Times New Roman" w:hAnsi="Times New Roman" w:eastAsia="仿宋_GB2312" w:cs="Times New Roman"/>
          <w:color w:val="000000"/>
          <w:highlight w:val="none"/>
          <w:lang w:eastAsia="zh-CN"/>
        </w:rPr>
      </w:pPr>
      <w:r>
        <w:rPr>
          <w:rFonts w:hint="default" w:ascii="Times New Roman" w:hAnsi="Times New Roman" w:eastAsia="仿宋_GB2312" w:cs="Times New Roman"/>
          <w:color w:val="000000"/>
          <w:highlight w:val="none"/>
        </w:rPr>
        <w:t>注：1、经济数据</w:t>
      </w:r>
      <w:r>
        <w:rPr>
          <w:rFonts w:hint="default" w:ascii="Times New Roman" w:hAnsi="Times New Roman" w:eastAsia="仿宋_GB2312" w:cs="Times New Roman"/>
          <w:color w:val="000000"/>
          <w:highlight w:val="none"/>
          <w:lang w:eastAsia="zh-CN"/>
        </w:rPr>
        <w:t>来源于四川省统计局</w:t>
      </w:r>
    </w:p>
    <w:p>
      <w:pPr>
        <w:pStyle w:val="4"/>
        <w:snapToGrid w:val="0"/>
        <w:spacing w:line="300" w:lineRule="exact"/>
        <w:ind w:firstLine="420" w:firstLineChars="20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000000"/>
          <w:highlight w:val="none"/>
        </w:rPr>
        <w:t>2、财政数据中202</w:t>
      </w:r>
      <w:r>
        <w:rPr>
          <w:rFonts w:hint="eastAsia" w:ascii="Times New Roman" w:hAnsi="Times New Roman" w:eastAsia="仿宋_GB2312" w:cs="Times New Roman"/>
          <w:color w:val="000000"/>
          <w:highlight w:val="none"/>
          <w:lang w:val="en-US" w:eastAsia="zh-CN"/>
        </w:rPr>
        <w:t>4</w:t>
      </w:r>
      <w:r>
        <w:rPr>
          <w:rFonts w:hint="default" w:ascii="Times New Roman" w:hAnsi="Times New Roman" w:eastAsia="仿宋_GB2312" w:cs="Times New Roman"/>
          <w:color w:val="000000"/>
          <w:highlight w:val="none"/>
        </w:rPr>
        <w:t>年</w:t>
      </w:r>
      <w:r>
        <w:rPr>
          <w:rFonts w:hint="default" w:ascii="Times New Roman" w:hAnsi="Times New Roman" w:eastAsia="仿宋_GB2312" w:cs="Times New Roman"/>
          <w:color w:val="000000"/>
          <w:highlight w:val="none"/>
          <w:lang w:eastAsia="zh-CN"/>
        </w:rPr>
        <w:t>为决算数，</w:t>
      </w:r>
      <w:r>
        <w:rPr>
          <w:rFonts w:hint="default" w:ascii="Times New Roman" w:hAnsi="Times New Roman" w:eastAsia="仿宋_GB2312" w:cs="Times New Roman"/>
          <w:color w:val="000000"/>
          <w:highlight w:val="none"/>
          <w:lang w:val="en-US" w:eastAsia="zh-CN"/>
        </w:rPr>
        <w:t>202</w:t>
      </w:r>
      <w:r>
        <w:rPr>
          <w:rFonts w:hint="eastAsia" w:ascii="Times New Roman" w:hAnsi="Times New Roman" w:eastAsia="仿宋_GB2312" w:cs="Times New Roman"/>
          <w:color w:val="000000"/>
          <w:highlight w:val="none"/>
          <w:lang w:val="en-US" w:eastAsia="zh-CN"/>
        </w:rPr>
        <w:t>5</w:t>
      </w:r>
      <w:r>
        <w:rPr>
          <w:rFonts w:hint="default" w:ascii="Times New Roman" w:hAnsi="Times New Roman" w:eastAsia="仿宋_GB2312" w:cs="Times New Roman"/>
          <w:color w:val="000000"/>
          <w:highlight w:val="none"/>
          <w:lang w:val="en-US" w:eastAsia="zh-CN"/>
        </w:rPr>
        <w:t>年</w:t>
      </w:r>
      <w:r>
        <w:rPr>
          <w:rFonts w:hint="default" w:ascii="Times New Roman" w:hAnsi="Times New Roman" w:eastAsia="仿宋_GB2312" w:cs="Times New Roman"/>
          <w:color w:val="000000"/>
          <w:highlight w:val="none"/>
        </w:rPr>
        <w:t>为</w:t>
      </w:r>
      <w:r>
        <w:rPr>
          <w:rFonts w:hint="eastAsia" w:ascii="Times New Roman" w:hAnsi="Times New Roman" w:eastAsia="仿宋_GB2312" w:cs="Times New Roman"/>
          <w:color w:val="000000"/>
          <w:highlight w:val="none"/>
          <w:lang w:eastAsia="zh-CN"/>
        </w:rPr>
        <w:t>快报执行数</w:t>
      </w:r>
      <w:r>
        <w:rPr>
          <w:rFonts w:hint="default" w:ascii="Times New Roman" w:hAnsi="Times New Roman" w:eastAsia="仿宋_GB2312" w:cs="Times New Roman"/>
          <w:color w:val="000000"/>
          <w:highlight w:val="none"/>
          <w:lang w:eastAsia="zh-CN"/>
        </w:rPr>
        <w:t>，</w:t>
      </w:r>
      <w:r>
        <w:rPr>
          <w:rFonts w:hint="eastAsia" w:ascii="Times New Roman" w:hAnsi="Times New Roman" w:eastAsia="仿宋_GB2312" w:cs="Times New Roman"/>
          <w:color w:val="000000"/>
          <w:highlight w:val="none"/>
          <w:lang w:val="en-US" w:eastAsia="zh-CN"/>
        </w:rPr>
        <w:t>2026年</w:t>
      </w:r>
      <w:r>
        <w:rPr>
          <w:rFonts w:hint="default" w:ascii="Times New Roman" w:hAnsi="Times New Roman" w:eastAsia="仿宋_GB2312" w:cs="Times New Roman"/>
          <w:color w:val="000000"/>
          <w:highlight w:val="none"/>
          <w:lang w:val="en-US" w:eastAsia="zh-CN"/>
        </w:rPr>
        <w:t>为预算数</w:t>
      </w:r>
      <w:r>
        <w:rPr>
          <w:rFonts w:hint="default" w:ascii="Times New Roman" w:hAnsi="Times New Roman" w:eastAsia="仿宋_GB2312" w:cs="Times New Roman"/>
          <w:color w:val="000000"/>
          <w:highlight w:val="none"/>
        </w:rPr>
        <w:t>。</w:t>
      </w:r>
    </w:p>
    <w:p>
      <w:pPr>
        <w:keepNext w:val="0"/>
        <w:keepLines w:val="0"/>
        <w:pageBreakBefore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五、四川省地方政府债务管理情况</w:t>
      </w:r>
    </w:p>
    <w:p>
      <w:pPr>
        <w:pStyle w:val="4"/>
        <w:keepNext w:val="0"/>
        <w:keepLines w:val="0"/>
        <w:pageBreakBefore w:val="0"/>
        <w:widowControl w:val="0"/>
        <w:kinsoku/>
        <w:wordWrap/>
        <w:overflowPunct/>
        <w:topLinePunct w:val="0"/>
        <w:autoSpaceDE/>
        <w:autoSpaceDN/>
        <w:bidi w:val="0"/>
        <w:adjustRightInd/>
        <w:snapToGrid w:val="0"/>
        <w:spacing w:line="56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（一）四川省地方政府债务基本情况。</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rPr>
        <w:t>全省</w:t>
      </w:r>
      <w:r>
        <w:rPr>
          <w:rFonts w:hint="default" w:ascii="Times New Roman" w:hAnsi="Times New Roman" w:eastAsia="仿宋_GB2312" w:cs="Times New Roman"/>
          <w:color w:val="auto"/>
          <w:sz w:val="32"/>
          <w:szCs w:val="32"/>
          <w:highlight w:val="none"/>
        </w:rPr>
        <w:t>债务余额为</w:t>
      </w:r>
      <w:r>
        <w:rPr>
          <w:rFonts w:hint="eastAsia" w:ascii="Times New Roman" w:hAnsi="Times New Roman" w:eastAsia="仿宋_GB2312" w:cs="Times New Roman"/>
          <w:color w:val="auto"/>
          <w:sz w:val="32"/>
          <w:szCs w:val="32"/>
          <w:highlight w:val="none"/>
          <w:lang w:val="en-US" w:eastAsia="zh-CN"/>
        </w:rPr>
        <w:t>28015</w:t>
      </w:r>
      <w:r>
        <w:rPr>
          <w:rFonts w:hint="default" w:ascii="Times New Roman" w:hAnsi="Times New Roman" w:eastAsia="仿宋_GB2312" w:cs="Times New Roman"/>
          <w:color w:val="auto"/>
          <w:sz w:val="32"/>
          <w:szCs w:val="32"/>
          <w:highlight w:val="none"/>
        </w:rPr>
        <w:t>亿元，控制在国务院</w:t>
      </w:r>
      <w:r>
        <w:rPr>
          <w:rFonts w:hint="default" w:ascii="Times New Roman" w:hAnsi="Times New Roman" w:eastAsia="仿宋_GB2312" w:cs="Times New Roman"/>
          <w:color w:val="auto"/>
          <w:sz w:val="32"/>
          <w:szCs w:val="32"/>
          <w:highlight w:val="none"/>
          <w:lang w:val="en-US" w:eastAsia="zh-CN"/>
        </w:rPr>
        <w:t>批准</w:t>
      </w:r>
      <w:r>
        <w:rPr>
          <w:rFonts w:hint="default" w:ascii="Times New Roman" w:hAnsi="Times New Roman" w:eastAsia="仿宋_GB2312" w:cs="Times New Roman"/>
          <w:color w:val="auto"/>
          <w:sz w:val="32"/>
          <w:szCs w:val="32"/>
          <w:highlight w:val="none"/>
        </w:rPr>
        <w:t>的</w:t>
      </w:r>
      <w:r>
        <w:rPr>
          <w:rFonts w:hint="eastAsia" w:ascii="Times New Roman" w:hAnsi="Times New Roman" w:eastAsia="仿宋_GB2312" w:cs="Times New Roman"/>
          <w:color w:val="auto"/>
          <w:sz w:val="32"/>
          <w:szCs w:val="32"/>
          <w:highlight w:val="none"/>
          <w:lang w:val="en-US" w:eastAsia="zh-CN"/>
        </w:rPr>
        <w:t>29635.7</w:t>
      </w:r>
      <w:r>
        <w:rPr>
          <w:rFonts w:hint="default" w:ascii="Times New Roman" w:hAnsi="Times New Roman" w:eastAsia="仿宋_GB2312" w:cs="Times New Roman"/>
          <w:color w:val="auto"/>
          <w:sz w:val="32"/>
          <w:szCs w:val="32"/>
          <w:highlight w:val="none"/>
          <w:lang w:val="en-US" w:eastAsia="zh-CN"/>
        </w:rPr>
        <w:t>亿</w:t>
      </w:r>
      <w:r>
        <w:rPr>
          <w:rFonts w:hint="default" w:ascii="Times New Roman" w:hAnsi="Times New Roman" w:eastAsia="仿宋_GB2312" w:cs="Times New Roman"/>
          <w:color w:val="auto"/>
          <w:sz w:val="32"/>
          <w:szCs w:val="32"/>
          <w:highlight w:val="none"/>
        </w:rPr>
        <w:t>元限额内，债务风险总体可控。</w:t>
      </w:r>
      <w:r>
        <w:rPr>
          <w:rFonts w:hint="default" w:ascii="Times New Roman" w:hAnsi="Times New Roman" w:eastAsia="仿宋_GB2312" w:cs="Times New Roman"/>
          <w:color w:val="auto"/>
          <w:sz w:val="32"/>
          <w:szCs w:val="32"/>
          <w:highlight w:val="none"/>
          <w:lang w:val="en-US" w:eastAsia="zh-CN"/>
        </w:rPr>
        <w:t>分类型看：全省一般债务限额</w:t>
      </w:r>
      <w:r>
        <w:rPr>
          <w:rFonts w:hint="eastAsia" w:ascii="Times New Roman" w:hAnsi="Times New Roman" w:eastAsia="仿宋_GB2312" w:cs="Times New Roman"/>
          <w:color w:val="auto"/>
          <w:sz w:val="32"/>
          <w:szCs w:val="32"/>
          <w:highlight w:val="none"/>
          <w:lang w:val="en-US" w:eastAsia="zh-CN"/>
        </w:rPr>
        <w:t>8739.4</w:t>
      </w:r>
      <w:r>
        <w:rPr>
          <w:rFonts w:hint="default" w:ascii="Times New Roman" w:hAnsi="Times New Roman" w:eastAsia="仿宋_GB2312" w:cs="Times New Roman"/>
          <w:color w:val="auto"/>
          <w:sz w:val="32"/>
          <w:szCs w:val="32"/>
          <w:highlight w:val="none"/>
          <w:lang w:val="en-US" w:eastAsia="zh-CN"/>
        </w:rPr>
        <w:t>亿元，余</w:t>
      </w:r>
      <w:r>
        <w:rPr>
          <w:rFonts w:hint="eastAsia" w:ascii="Times New Roman" w:hAnsi="Times New Roman" w:eastAsia="仿宋_GB2312" w:cs="Times New Roman"/>
          <w:color w:val="auto"/>
          <w:sz w:val="32"/>
          <w:szCs w:val="32"/>
          <w:highlight w:val="none"/>
          <w:lang w:val="en-US" w:eastAsia="zh-CN"/>
        </w:rPr>
        <w:t>额8515.5</w:t>
      </w:r>
      <w:r>
        <w:rPr>
          <w:rFonts w:hint="default" w:ascii="Times New Roman" w:hAnsi="Times New Roman" w:eastAsia="仿宋_GB2312" w:cs="Times New Roman"/>
          <w:color w:val="auto"/>
          <w:sz w:val="32"/>
          <w:szCs w:val="32"/>
          <w:highlight w:val="none"/>
          <w:lang w:val="en-US" w:eastAsia="zh-CN"/>
        </w:rPr>
        <w:t>亿元；专项债务限额</w:t>
      </w:r>
      <w:r>
        <w:rPr>
          <w:rFonts w:hint="eastAsia" w:ascii="Times New Roman" w:hAnsi="Times New Roman" w:eastAsia="仿宋_GB2312" w:cs="Times New Roman"/>
          <w:color w:val="auto"/>
          <w:sz w:val="32"/>
          <w:szCs w:val="32"/>
          <w:highlight w:val="none"/>
          <w:lang w:val="en-US" w:eastAsia="zh-CN"/>
        </w:rPr>
        <w:t>20896.3</w:t>
      </w:r>
      <w:r>
        <w:rPr>
          <w:rFonts w:hint="default" w:ascii="Times New Roman" w:hAnsi="Times New Roman" w:eastAsia="仿宋_GB2312" w:cs="Times New Roman"/>
          <w:color w:val="auto"/>
          <w:sz w:val="32"/>
          <w:szCs w:val="32"/>
          <w:highlight w:val="none"/>
          <w:lang w:val="en-US" w:eastAsia="zh-CN"/>
        </w:rPr>
        <w:t>亿元，余额</w:t>
      </w:r>
      <w:r>
        <w:rPr>
          <w:rFonts w:hint="eastAsia" w:ascii="Times New Roman" w:hAnsi="Times New Roman" w:eastAsia="仿宋_GB2312" w:cs="Times New Roman"/>
          <w:color w:val="auto"/>
          <w:sz w:val="32"/>
          <w:szCs w:val="32"/>
          <w:highlight w:val="none"/>
          <w:lang w:val="en-US" w:eastAsia="zh-CN"/>
        </w:rPr>
        <w:t>19499.5</w:t>
      </w:r>
      <w:r>
        <w:rPr>
          <w:rFonts w:hint="default" w:ascii="Times New Roman" w:hAnsi="Times New Roman" w:eastAsia="仿宋_GB2312" w:cs="Times New Roman"/>
          <w:color w:val="auto"/>
          <w:sz w:val="32"/>
          <w:szCs w:val="32"/>
          <w:highlight w:val="none"/>
          <w:lang w:val="en-US" w:eastAsia="zh-CN"/>
        </w:rPr>
        <w:t>亿元。分级次看：省级债务限额</w:t>
      </w:r>
      <w:r>
        <w:rPr>
          <w:rFonts w:hint="eastAsia" w:ascii="Times New Roman" w:hAnsi="Times New Roman" w:eastAsia="仿宋_GB2312" w:cs="Times New Roman"/>
          <w:color w:val="auto"/>
          <w:sz w:val="32"/>
          <w:szCs w:val="32"/>
          <w:highlight w:val="none"/>
          <w:lang w:val="en-US" w:eastAsia="zh-CN"/>
        </w:rPr>
        <w:t>1546.1</w:t>
      </w:r>
      <w:r>
        <w:rPr>
          <w:rFonts w:hint="default" w:ascii="Times New Roman" w:hAnsi="Times New Roman" w:eastAsia="仿宋_GB2312" w:cs="Times New Roman"/>
          <w:color w:val="auto"/>
          <w:sz w:val="32"/>
          <w:szCs w:val="32"/>
          <w:highlight w:val="none"/>
          <w:lang w:val="en-US" w:eastAsia="zh-CN"/>
        </w:rPr>
        <w:t>亿元，余额</w:t>
      </w:r>
      <w:r>
        <w:rPr>
          <w:rFonts w:hint="eastAsia" w:ascii="Times New Roman" w:hAnsi="Times New Roman"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lang w:val="en" w:eastAsia="zh-CN"/>
        </w:rPr>
        <w:t>50.6</w:t>
      </w:r>
      <w:r>
        <w:rPr>
          <w:rFonts w:hint="default" w:ascii="Times New Roman" w:hAnsi="Times New Roman" w:eastAsia="仿宋_GB2312" w:cs="Times New Roman"/>
          <w:color w:val="auto"/>
          <w:sz w:val="32"/>
          <w:szCs w:val="32"/>
          <w:highlight w:val="none"/>
          <w:lang w:val="en-US" w:eastAsia="zh-CN"/>
        </w:rPr>
        <w:t>亿元；市级债务限额</w:t>
      </w:r>
      <w:r>
        <w:rPr>
          <w:rFonts w:hint="default" w:ascii="Times New Roman" w:hAnsi="Times New Roman" w:eastAsia="仿宋_GB2312" w:cs="Times New Roman"/>
          <w:color w:val="auto"/>
          <w:sz w:val="32"/>
          <w:szCs w:val="32"/>
          <w:highlight w:val="none"/>
          <w:lang w:val="en" w:eastAsia="zh-CN"/>
        </w:rPr>
        <w:t>8219.6</w:t>
      </w:r>
      <w:r>
        <w:rPr>
          <w:rFonts w:hint="default" w:ascii="Times New Roman" w:hAnsi="Times New Roman" w:eastAsia="仿宋_GB2312" w:cs="Times New Roman"/>
          <w:color w:val="auto"/>
          <w:sz w:val="32"/>
          <w:szCs w:val="32"/>
          <w:highlight w:val="none"/>
          <w:lang w:val="en-US" w:eastAsia="zh-CN"/>
        </w:rPr>
        <w:t>亿元，余额</w:t>
      </w:r>
      <w:r>
        <w:rPr>
          <w:rFonts w:hint="eastAsia" w:ascii="Times New Roman" w:hAnsi="Times New Roman" w:eastAsia="仿宋_GB2312" w:cs="Times New Roman"/>
          <w:color w:val="auto"/>
          <w:sz w:val="32"/>
          <w:szCs w:val="32"/>
          <w:highlight w:val="none"/>
          <w:lang w:val="en-US" w:eastAsia="zh-CN"/>
        </w:rPr>
        <w:t>7824</w:t>
      </w:r>
      <w:r>
        <w:rPr>
          <w:rFonts w:hint="default" w:ascii="Times New Roman" w:hAnsi="Times New Roman" w:eastAsia="仿宋_GB2312" w:cs="Times New Roman"/>
          <w:color w:val="auto"/>
          <w:sz w:val="32"/>
          <w:szCs w:val="32"/>
          <w:highlight w:val="none"/>
          <w:lang w:val="en-US" w:eastAsia="zh-CN"/>
        </w:rPr>
        <w:t>亿元</w:t>
      </w:r>
      <w:r>
        <w:rPr>
          <w:rFonts w:hint="default" w:ascii="Times New Roman" w:hAnsi="Times New Roman" w:eastAsia="仿宋_GB2312" w:cs="Times New Roman"/>
          <w:color w:val="auto"/>
          <w:sz w:val="32"/>
          <w:szCs w:val="32"/>
          <w:highlight w:val="none"/>
          <w:lang w:val="en" w:eastAsia="zh-CN"/>
        </w:rPr>
        <w:t>;县</w:t>
      </w:r>
      <w:r>
        <w:rPr>
          <w:rFonts w:hint="default" w:ascii="Times New Roman" w:hAnsi="Times New Roman" w:eastAsia="仿宋_GB2312" w:cs="Times New Roman"/>
          <w:color w:val="auto"/>
          <w:sz w:val="32"/>
          <w:szCs w:val="32"/>
          <w:highlight w:val="none"/>
          <w:lang w:val="en-US" w:eastAsia="zh-CN"/>
        </w:rPr>
        <w:t>级债务限额</w:t>
      </w:r>
      <w:r>
        <w:rPr>
          <w:rFonts w:hint="default" w:ascii="Times New Roman" w:hAnsi="Times New Roman" w:eastAsia="仿宋_GB2312" w:cs="Times New Roman"/>
          <w:color w:val="auto"/>
          <w:sz w:val="32"/>
          <w:szCs w:val="32"/>
          <w:highlight w:val="none"/>
          <w:lang w:val="en" w:eastAsia="zh-CN"/>
        </w:rPr>
        <w:t>19870</w:t>
      </w:r>
      <w:r>
        <w:rPr>
          <w:rFonts w:hint="default" w:ascii="Times New Roman" w:hAnsi="Times New Roman" w:eastAsia="仿宋_GB2312" w:cs="Times New Roman"/>
          <w:color w:val="auto"/>
          <w:sz w:val="32"/>
          <w:szCs w:val="32"/>
          <w:highlight w:val="none"/>
          <w:lang w:val="en-US" w:eastAsia="zh-CN"/>
        </w:rPr>
        <w:t>亿元，余额</w:t>
      </w:r>
      <w:r>
        <w:rPr>
          <w:rFonts w:hint="eastAsia" w:ascii="Times New Roman" w:hAnsi="Times New Roman" w:eastAsia="仿宋_GB2312" w:cs="Times New Roman"/>
          <w:color w:val="auto"/>
          <w:sz w:val="32"/>
          <w:szCs w:val="32"/>
          <w:highlight w:val="none"/>
          <w:lang w:val="en-US" w:eastAsia="zh-CN"/>
        </w:rPr>
        <w:t>18740.4</w:t>
      </w:r>
      <w:r>
        <w:rPr>
          <w:rFonts w:hint="default" w:ascii="Times New Roman" w:hAnsi="Times New Roman" w:eastAsia="仿宋_GB2312" w:cs="Times New Roman"/>
          <w:color w:val="auto"/>
          <w:sz w:val="32"/>
          <w:szCs w:val="32"/>
          <w:highlight w:val="none"/>
          <w:lang w:val="en-US" w:eastAsia="zh-CN"/>
        </w:rPr>
        <w:t>亿元。</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年，全省新增政府债券主要聚焦</w:t>
      </w:r>
      <w:r>
        <w:rPr>
          <w:rFonts w:hint="eastAsia" w:ascii="Times New Roman" w:hAnsi="Times New Roman" w:eastAsia="仿宋_GB2312" w:cs="Times New Roman"/>
          <w:color w:val="auto"/>
          <w:sz w:val="32"/>
          <w:szCs w:val="32"/>
          <w:highlight w:val="none"/>
          <w:lang w:val="en-US" w:eastAsia="zh-CN"/>
        </w:rPr>
        <w:t>交通、社会事业、产业园区</w:t>
      </w:r>
      <w:r>
        <w:rPr>
          <w:rFonts w:hint="default" w:ascii="Times New Roman" w:hAnsi="Times New Roman" w:eastAsia="仿宋_GB2312" w:cs="Times New Roman"/>
          <w:color w:val="auto"/>
          <w:sz w:val="32"/>
          <w:szCs w:val="32"/>
          <w:highlight w:val="none"/>
          <w:lang w:val="en-US" w:eastAsia="zh-CN"/>
        </w:rPr>
        <w:t>等领域，有力支持了</w:t>
      </w:r>
      <w:r>
        <w:rPr>
          <w:rFonts w:hint="eastAsia" w:ascii="Times New Roman" w:hAnsi="Times New Roman" w:eastAsia="仿宋_GB2312" w:cs="Times New Roman"/>
          <w:color w:val="auto"/>
          <w:sz w:val="32"/>
          <w:szCs w:val="32"/>
          <w:highlight w:val="none"/>
          <w:lang w:val="en-US" w:eastAsia="zh-CN"/>
        </w:rPr>
        <w:t>成达万铁路、向家坝灌区</w:t>
      </w:r>
      <w:r>
        <w:rPr>
          <w:rFonts w:hint="default" w:ascii="Times New Roman" w:hAnsi="Times New Roman" w:eastAsia="仿宋_GB2312" w:cs="Times New Roman"/>
          <w:color w:val="auto"/>
          <w:sz w:val="32"/>
          <w:szCs w:val="32"/>
          <w:highlight w:val="none"/>
          <w:lang w:val="en-US" w:eastAsia="zh-CN"/>
        </w:rPr>
        <w:t>等重大项目建设</w:t>
      </w:r>
      <w:r>
        <w:rPr>
          <w:rFonts w:hint="default" w:ascii="Times New Roman" w:hAnsi="Times New Roman" w:eastAsia="仿宋_GB2312" w:cs="Times New Roman"/>
          <w:color w:val="auto"/>
          <w:sz w:val="32"/>
          <w:szCs w:val="32"/>
          <w:highlight w:val="none"/>
        </w:rPr>
        <w:t>。</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（二）四川省加强债务管理、防范化解政府债务风险采取的主要措施。</w:t>
      </w:r>
    </w:p>
    <w:p>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四川省委、省政府高度重视政府债务管理工作，积极采取有效措施完善相关制度机制，切实防范和化解地方政府债务风险。</w:t>
      </w:r>
    </w:p>
    <w:p>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b w:val="0"/>
          <w:bCs w:val="0"/>
          <w:color w:val="auto"/>
          <w:sz w:val="32"/>
          <w:szCs w:val="32"/>
          <w:highlight w:val="none"/>
          <w:lang w:val="en-US" w:eastAsia="zh-CN"/>
        </w:rPr>
        <w:t>1</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rPr>
        <w:t>加强统筹部署，完善政府债务管理。</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完善管理制度机制</w:t>
      </w:r>
      <w:r>
        <w:rPr>
          <w:rFonts w:hint="default"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建立发改、财政双牵头，主管部门分工负责的“2+N”债券管理新机制，</w:t>
      </w:r>
      <w:r>
        <w:rPr>
          <w:rFonts w:hint="default" w:ascii="Times New Roman" w:hAnsi="Times New Roman" w:eastAsia="仿宋_GB2312" w:cs="Times New Roman"/>
          <w:color w:val="auto"/>
          <w:sz w:val="32"/>
          <w:szCs w:val="32"/>
          <w:highlight w:val="none"/>
        </w:rPr>
        <w:t>印发《四川省债券项目全生命周期管理工作机制》</w:t>
      </w:r>
      <w:r>
        <w:rPr>
          <w:rFonts w:hint="eastAsia" w:ascii="Times New Roman" w:hAnsi="Times New Roman" w:eastAsia="仿宋_GB2312" w:cs="Times New Roman"/>
          <w:color w:val="auto"/>
          <w:sz w:val="32"/>
          <w:szCs w:val="32"/>
          <w:highlight w:val="none"/>
          <w:lang w:val="en-US" w:eastAsia="zh-CN"/>
        </w:rPr>
        <w:t>作为管总文件，配套出台审核标准、行业分工、工作流程等，加强专项债券“借、用、管、还”全生命周期管理</w:t>
      </w:r>
      <w:r>
        <w:rPr>
          <w:rFonts w:hint="default" w:ascii="Times New Roman" w:hAnsi="Times New Roman" w:eastAsia="仿宋_GB2312" w:cs="Times New Roman"/>
          <w:color w:val="auto"/>
          <w:sz w:val="32"/>
          <w:szCs w:val="32"/>
          <w:highlight w:val="none"/>
          <w:lang w:eastAsia="zh-CN"/>
        </w:rPr>
        <w:t>。</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w:t>
      </w:r>
      <w:r>
        <w:rPr>
          <w:rFonts w:hint="eastAsia" w:ascii="Times New Roman" w:hAnsi="Times New Roman" w:eastAsia="仿宋_GB2312" w:cs="Times New Roman"/>
          <w:b/>
          <w:bCs/>
          <w:color w:val="auto"/>
          <w:sz w:val="32"/>
          <w:szCs w:val="32"/>
          <w:highlight w:val="none"/>
          <w:lang w:val="en-US" w:eastAsia="zh-CN"/>
        </w:rPr>
        <w:t>强化债券资金监管</w:t>
      </w:r>
      <w:r>
        <w:rPr>
          <w:rFonts w:hint="default" w:ascii="Times New Roman" w:hAnsi="Times New Roman" w:eastAsia="仿宋_GB2312" w:cs="Times New Roman"/>
          <w:b/>
          <w:bCs/>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建立专项债券专户管理，</w:t>
      </w:r>
      <w:r>
        <w:rPr>
          <w:rFonts w:hint="default" w:ascii="Times New Roman" w:hAnsi="Times New Roman" w:eastAsia="仿宋_GB2312" w:cs="Times New Roman"/>
          <w:color w:val="auto"/>
          <w:sz w:val="32"/>
          <w:szCs w:val="32"/>
          <w:highlight w:val="none"/>
          <w:lang w:val="en-US" w:eastAsia="zh-CN"/>
        </w:rPr>
        <w:t>债券资金专款专用</w:t>
      </w:r>
      <w:r>
        <w:rPr>
          <w:rFonts w:hint="eastAsia" w:ascii="Times New Roman" w:hAnsi="Times New Roman" w:eastAsia="仿宋_GB2312" w:cs="Times New Roman"/>
          <w:color w:val="auto"/>
          <w:sz w:val="32"/>
          <w:szCs w:val="32"/>
          <w:highlight w:val="none"/>
          <w:lang w:val="en-US" w:eastAsia="zh-CN"/>
        </w:rPr>
        <w:t>。针对发现的各类债券项目资金管理问题，印发专项工作方案，从事前准入把关、事中监测调度、事后运营管理、全程监督问效四个方面强化管理要求，提高专项债券资金使用效益</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kern w:val="2"/>
          <w:sz w:val="32"/>
          <w:szCs w:val="32"/>
          <w:highlight w:val="none"/>
          <w:lang w:val="en-US" w:eastAsia="zh-CN" w:bidi="ar-SA"/>
        </w:rPr>
      </w:pPr>
      <w:r>
        <w:rPr>
          <w:rFonts w:hint="default" w:ascii="Times New Roman" w:hAnsi="Times New Roman" w:eastAsia="方正楷体简体" w:cs="Times New Roman"/>
          <w:color w:val="auto"/>
          <w:kern w:val="2"/>
          <w:sz w:val="32"/>
          <w:szCs w:val="32"/>
          <w:highlight w:val="none"/>
          <w:lang w:val="en-US" w:eastAsia="zh-CN" w:bidi="ar-SA"/>
        </w:rPr>
        <w:t>2</w:t>
      </w:r>
      <w:r>
        <w:rPr>
          <w:rFonts w:hint="default" w:ascii="Times New Roman" w:hAnsi="Times New Roman" w:eastAsia="楷体_GB2312" w:cs="Times New Roman"/>
          <w:color w:val="auto"/>
          <w:kern w:val="2"/>
          <w:sz w:val="32"/>
          <w:szCs w:val="32"/>
          <w:highlight w:val="none"/>
          <w:lang w:val="en-US" w:eastAsia="zh-CN" w:bidi="ar-SA"/>
        </w:rPr>
        <w:t>.聚焦重点领域，加力促投资稳增长。</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（1）积极落实中央和省委安排部署。</w:t>
      </w:r>
      <w:r>
        <w:rPr>
          <w:rFonts w:hint="default" w:ascii="Times New Roman" w:hAnsi="Times New Roman" w:eastAsia="仿宋_GB2312" w:cs="Times New Roman"/>
          <w:color w:val="auto"/>
          <w:sz w:val="32"/>
          <w:szCs w:val="32"/>
          <w:highlight w:val="none"/>
          <w:lang w:val="en-US" w:eastAsia="zh-CN"/>
        </w:rPr>
        <w:t>坚持“资金跟着项目走”原则，聚焦成渝地区双城经济圈建设、重大基础设施、</w:t>
      </w:r>
      <w:r>
        <w:rPr>
          <w:rFonts w:hint="eastAsia" w:ascii="Times New Roman" w:hAnsi="Times New Roman" w:eastAsia="仿宋_GB2312" w:cs="Times New Roman"/>
          <w:color w:val="auto"/>
          <w:sz w:val="32"/>
          <w:szCs w:val="32"/>
          <w:highlight w:val="none"/>
          <w:lang w:val="en-US" w:eastAsia="zh-CN"/>
        </w:rPr>
        <w:t>科技和产业发展</w:t>
      </w:r>
      <w:r>
        <w:rPr>
          <w:rFonts w:hint="default" w:ascii="Times New Roman" w:hAnsi="Times New Roman" w:eastAsia="仿宋_GB2312" w:cs="Times New Roman"/>
          <w:color w:val="auto"/>
          <w:sz w:val="32"/>
          <w:szCs w:val="32"/>
          <w:highlight w:val="none"/>
          <w:lang w:val="en-US" w:eastAsia="zh-CN"/>
        </w:rPr>
        <w:t>、民生保障等</w:t>
      </w:r>
      <w:r>
        <w:rPr>
          <w:rFonts w:hint="eastAsia" w:ascii="Times New Roman" w:hAnsi="Times New Roman" w:eastAsia="仿宋_GB2312" w:cs="Times New Roman"/>
          <w:color w:val="auto"/>
          <w:sz w:val="32"/>
          <w:szCs w:val="32"/>
          <w:highlight w:val="none"/>
          <w:lang w:val="en-US" w:eastAsia="zh-CN"/>
        </w:rPr>
        <w:t>领域</w:t>
      </w:r>
      <w:r>
        <w:rPr>
          <w:rFonts w:hint="default" w:ascii="Times New Roman" w:hAnsi="Times New Roman" w:eastAsia="仿宋_GB2312" w:cs="Times New Roman"/>
          <w:color w:val="auto"/>
          <w:sz w:val="32"/>
          <w:szCs w:val="32"/>
          <w:highlight w:val="none"/>
          <w:lang w:val="en-US" w:eastAsia="zh-CN"/>
        </w:rPr>
        <w:t>，优先支持省委省政府明确的</w:t>
      </w:r>
      <w:r>
        <w:rPr>
          <w:rFonts w:hint="eastAsia" w:ascii="Times New Roman" w:hAnsi="Times New Roman" w:eastAsia="仿宋_GB2312" w:cs="Times New Roman"/>
          <w:color w:val="auto"/>
          <w:sz w:val="32"/>
          <w:szCs w:val="32"/>
          <w:highlight w:val="none"/>
          <w:lang w:val="en-US" w:eastAsia="zh-CN"/>
        </w:rPr>
        <w:t>重大项目</w:t>
      </w:r>
      <w:r>
        <w:rPr>
          <w:rFonts w:hint="default" w:ascii="Times New Roman" w:hAnsi="Times New Roman" w:eastAsia="仿宋_GB2312" w:cs="Times New Roman"/>
          <w:color w:val="auto"/>
          <w:sz w:val="32"/>
          <w:szCs w:val="32"/>
          <w:highlight w:val="none"/>
          <w:lang w:val="en-US" w:eastAsia="zh-CN"/>
        </w:rPr>
        <w:t>，增强对重大战略决策的支撑力度，充分发挥债券资金逆周期调节、“补短板、惠民生、促消费、扩内需”的积极作用。</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（2）精心优选债券发行项目。</w:t>
      </w:r>
      <w:r>
        <w:rPr>
          <w:rFonts w:hint="default" w:ascii="Times New Roman" w:hAnsi="Times New Roman" w:eastAsia="仿宋_GB2312" w:cs="Times New Roman"/>
          <w:color w:val="auto"/>
          <w:sz w:val="32"/>
          <w:szCs w:val="32"/>
          <w:highlight w:val="none"/>
          <w:lang w:val="en-US" w:eastAsia="zh-CN"/>
        </w:rPr>
        <w:t>坚持专项债券用于有一定收益的公益性项目，</w:t>
      </w:r>
      <w:r>
        <w:rPr>
          <w:rFonts w:hint="eastAsia" w:ascii="Times New Roman" w:hAnsi="Times New Roman" w:eastAsia="仿宋_GB2312" w:cs="Times New Roman"/>
          <w:color w:val="auto"/>
          <w:sz w:val="32"/>
          <w:szCs w:val="32"/>
          <w:highlight w:val="none"/>
          <w:lang w:val="en-US" w:eastAsia="zh-CN"/>
        </w:rPr>
        <w:t>聚焦投向领域、建设内容、前期准备等，加强项目合规性审核。同时，围绕项目成熟度加强发行前</w:t>
      </w:r>
      <w:r>
        <w:rPr>
          <w:rFonts w:hint="default" w:ascii="Times New Roman" w:hAnsi="Times New Roman" w:eastAsia="仿宋_GB2312" w:cs="Times New Roman"/>
          <w:color w:val="auto"/>
          <w:sz w:val="32"/>
          <w:szCs w:val="32"/>
          <w:highlight w:val="none"/>
          <w:lang w:val="en-US" w:eastAsia="zh-CN"/>
        </w:rPr>
        <w:t>把关，</w:t>
      </w:r>
      <w:r>
        <w:rPr>
          <w:rFonts w:hint="eastAsia" w:ascii="Times New Roman" w:hAnsi="Times New Roman" w:eastAsia="仿宋_GB2312" w:cs="Times New Roman"/>
          <w:color w:val="auto"/>
          <w:sz w:val="32"/>
          <w:szCs w:val="32"/>
          <w:highlight w:val="none"/>
          <w:lang w:val="en-US" w:eastAsia="zh-CN"/>
        </w:rPr>
        <w:t>推动专项债券资金用于在建项目和成熟度高的新项目，实现“早发快用”</w:t>
      </w:r>
      <w:r>
        <w:rPr>
          <w:rFonts w:hint="default" w:ascii="Times New Roman" w:hAnsi="Times New Roman" w:eastAsia="仿宋_GB2312" w:cs="Times New Roman"/>
          <w:color w:val="auto"/>
          <w:sz w:val="32"/>
          <w:szCs w:val="32"/>
          <w:highlight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（3）加快债券使用进度。</w:t>
      </w:r>
      <w:r>
        <w:rPr>
          <w:rFonts w:hint="default" w:ascii="Times New Roman" w:hAnsi="Times New Roman" w:eastAsia="仿宋_GB2312" w:cs="Times New Roman"/>
          <w:color w:val="auto"/>
          <w:sz w:val="32"/>
          <w:szCs w:val="32"/>
          <w:highlight w:val="none"/>
          <w:lang w:val="en-US" w:eastAsia="zh-CN"/>
        </w:rPr>
        <w:t>提前做好资金拨付方案，确保新增债券资金及时拨付至市县；建立</w:t>
      </w:r>
      <w:r>
        <w:rPr>
          <w:rFonts w:hint="eastAsia" w:ascii="Times New Roman" w:hAnsi="Times New Roman" w:eastAsia="仿宋_GB2312" w:cs="Times New Roman"/>
          <w:color w:val="auto"/>
          <w:sz w:val="32"/>
          <w:szCs w:val="32"/>
          <w:highlight w:val="none"/>
          <w:lang w:val="en-US" w:eastAsia="zh-CN"/>
        </w:rPr>
        <w:t>定期监测通报</w:t>
      </w:r>
      <w:r>
        <w:rPr>
          <w:rFonts w:hint="default" w:ascii="Times New Roman" w:hAnsi="Times New Roman" w:eastAsia="仿宋_GB2312" w:cs="Times New Roman"/>
          <w:color w:val="auto"/>
          <w:sz w:val="32"/>
          <w:szCs w:val="32"/>
          <w:highlight w:val="none"/>
          <w:lang w:val="en-US" w:eastAsia="zh-CN"/>
        </w:rPr>
        <w:t>机制，“点对点”提示进度明显落后地区</w:t>
      </w:r>
      <w:r>
        <w:rPr>
          <w:rFonts w:hint="eastAsia" w:ascii="Times New Roman" w:hAnsi="Times New Roman" w:eastAsia="仿宋_GB2312" w:cs="Times New Roman"/>
          <w:color w:val="auto"/>
          <w:sz w:val="32"/>
          <w:szCs w:val="32"/>
          <w:highlight w:val="none"/>
          <w:lang w:val="en-US" w:eastAsia="zh-CN"/>
        </w:rPr>
        <w:t>；发挥“2+N”机制作用开展专项督导，</w:t>
      </w:r>
      <w:r>
        <w:rPr>
          <w:rFonts w:hint="default" w:ascii="Times New Roman" w:hAnsi="Times New Roman" w:eastAsia="仿宋_GB2312" w:cs="Times New Roman"/>
          <w:color w:val="auto"/>
          <w:sz w:val="32"/>
          <w:szCs w:val="32"/>
          <w:highlight w:val="none"/>
          <w:lang w:val="en-US" w:eastAsia="zh-CN"/>
        </w:rPr>
        <w:t>督促市县</w:t>
      </w:r>
      <w:r>
        <w:rPr>
          <w:rFonts w:hint="eastAsia" w:ascii="Times New Roman" w:hAnsi="Times New Roman" w:eastAsia="仿宋_GB2312" w:cs="Times New Roman"/>
          <w:color w:val="auto"/>
          <w:sz w:val="32"/>
          <w:szCs w:val="32"/>
          <w:highlight w:val="none"/>
          <w:lang w:val="en-US" w:eastAsia="zh-CN"/>
        </w:rPr>
        <w:t>债券资金拨付进度与项目实施进度相匹配。</w:t>
      </w:r>
    </w:p>
    <w:p>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3.强化风险防控，牢牢守住防范风险底线。</w:t>
      </w:r>
    </w:p>
    <w:p>
      <w:pPr>
        <w:pStyle w:val="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（1）严格债务限额管理。</w:t>
      </w:r>
      <w:r>
        <w:rPr>
          <w:rFonts w:hint="default" w:ascii="Times New Roman" w:hAnsi="Times New Roman" w:eastAsia="仿宋_GB2312" w:cs="Times New Roman"/>
          <w:b w:val="0"/>
          <w:bCs w:val="0"/>
          <w:color w:val="auto"/>
          <w:sz w:val="32"/>
          <w:szCs w:val="32"/>
          <w:highlight w:val="none"/>
          <w:lang w:val="en-US" w:eastAsia="zh-CN"/>
        </w:rPr>
        <w:t>加快构建同高质量发展相适应的政府债务管理长效机制</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rPr>
        <w:t>根据</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风险等因素科学分配市县新增</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限额，对</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风险较高地区适当限制新增债券额度，引导地方政府加大化债力度，控制</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风险水平。</w:t>
      </w:r>
      <w:r>
        <w:rPr>
          <w:rFonts w:hint="eastAsia" w:ascii="Times New Roman" w:hAnsi="Times New Roman" w:eastAsia="仿宋_GB2312" w:cs="Times New Roman"/>
          <w:b w:val="0"/>
          <w:bCs w:val="0"/>
          <w:color w:val="auto"/>
          <w:sz w:val="32"/>
          <w:szCs w:val="32"/>
          <w:highlight w:val="none"/>
          <w:lang w:val="en-US" w:eastAsia="zh-CN"/>
        </w:rPr>
        <w:t>2025</w:t>
      </w:r>
      <w:r>
        <w:rPr>
          <w:rFonts w:hint="default" w:ascii="Times New Roman" w:hAnsi="Times New Roman" w:eastAsia="仿宋_GB2312" w:cs="Times New Roman"/>
          <w:b w:val="0"/>
          <w:bCs w:val="0"/>
          <w:color w:val="auto"/>
          <w:sz w:val="32"/>
          <w:szCs w:val="32"/>
          <w:highlight w:val="none"/>
          <w:lang w:val="en-US" w:eastAsia="zh-CN"/>
        </w:rPr>
        <w:t>年</w:t>
      </w:r>
      <w:r>
        <w:rPr>
          <w:rFonts w:hint="default" w:ascii="Times New Roman" w:hAnsi="Times New Roman" w:eastAsia="仿宋_GB2312" w:cs="Times New Roman"/>
          <w:b w:val="0"/>
          <w:bCs w:val="0"/>
          <w:color w:val="auto"/>
          <w:sz w:val="32"/>
          <w:szCs w:val="32"/>
          <w:highlight w:val="none"/>
        </w:rPr>
        <w:t>全省政府</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余额严格控制在财政部核定我省</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限额以内，</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风险总体可控</w:t>
      </w:r>
      <w:r>
        <w:rPr>
          <w:rFonts w:hint="default" w:ascii="Times New Roman" w:hAnsi="Times New Roman" w:eastAsia="仿宋_GB2312" w:cs="Times New Roman"/>
          <w:color w:val="auto"/>
          <w:sz w:val="32"/>
          <w:szCs w:val="32"/>
          <w:highlight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（2）全面完成到期政府债务偿还。</w:t>
      </w:r>
      <w:r>
        <w:rPr>
          <w:rFonts w:hint="default" w:ascii="Times New Roman" w:hAnsi="Times New Roman" w:eastAsia="仿宋_GB2312" w:cs="Times New Roman"/>
          <w:color w:val="auto"/>
          <w:sz w:val="32"/>
          <w:szCs w:val="32"/>
          <w:highlight w:val="none"/>
          <w:lang w:val="en-US" w:eastAsia="zh-CN"/>
        </w:rPr>
        <w:t>依法落实法定债券偿还责任，按照“谁使用、谁偿还”的原则，严格落实偿债资金来源，提高自有资金偿债比例，切实维护了省政府信誉。</w:t>
      </w:r>
    </w:p>
    <w:p>
      <w:pPr>
        <w:pStyle w:val="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（3）强化债务风险监测预警。</w:t>
      </w:r>
      <w:r>
        <w:rPr>
          <w:rFonts w:hint="eastAsia" w:ascii="Times New Roman" w:hAnsi="Times New Roman" w:eastAsia="仿宋_GB2312" w:cs="Times New Roman"/>
          <w:b w:val="0"/>
          <w:bCs w:val="0"/>
          <w:color w:val="auto"/>
          <w:sz w:val="32"/>
          <w:szCs w:val="32"/>
          <w:highlight w:val="none"/>
          <w:lang w:val="en-US" w:eastAsia="zh-CN"/>
        </w:rPr>
        <w:t>实施全口径地方债务监测监管，</w:t>
      </w:r>
      <w:r>
        <w:rPr>
          <w:rFonts w:hint="default" w:ascii="Times New Roman" w:hAnsi="Times New Roman" w:eastAsia="仿宋_GB2312" w:cs="Times New Roman"/>
          <w:b w:val="0"/>
          <w:bCs w:val="0"/>
          <w:color w:val="auto"/>
          <w:sz w:val="32"/>
          <w:szCs w:val="32"/>
          <w:highlight w:val="none"/>
        </w:rPr>
        <w:t>定期开展</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风险评估，及时通报评估结果</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督促指导风险较高市县统筹资金资产资源尽全力化债，筑牢防爆雷风险底线</w:t>
      </w:r>
      <w:r>
        <w:rPr>
          <w:rFonts w:hint="default" w:ascii="Times New Roman" w:hAnsi="Times New Roman" w:eastAsia="仿宋_GB2312" w:cs="Times New Roman"/>
          <w:color w:val="auto"/>
          <w:sz w:val="32"/>
          <w:szCs w:val="32"/>
          <w:highlight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（4）严格违规举债追责问责。</w:t>
      </w:r>
      <w:r>
        <w:rPr>
          <w:rFonts w:hint="eastAsia" w:ascii="Times New Roman" w:hAnsi="Times New Roman" w:eastAsia="仿宋_GB2312" w:cs="Times New Roman"/>
          <w:b w:val="0"/>
          <w:bCs w:val="0"/>
          <w:color w:val="auto"/>
          <w:sz w:val="32"/>
          <w:szCs w:val="32"/>
          <w:highlight w:val="none"/>
          <w:lang w:eastAsia="zh-CN"/>
        </w:rPr>
        <w:t>保持遏制新增隐性债务“零容忍”高压态势，</w:t>
      </w:r>
      <w:r>
        <w:rPr>
          <w:rFonts w:hint="default" w:ascii="Times New Roman" w:hAnsi="Times New Roman" w:eastAsia="仿宋_GB2312" w:cs="Times New Roman"/>
          <w:b w:val="0"/>
          <w:bCs w:val="0"/>
          <w:color w:val="auto"/>
          <w:sz w:val="32"/>
          <w:szCs w:val="32"/>
          <w:highlight w:val="none"/>
          <w:lang w:eastAsia="zh-CN"/>
        </w:rPr>
        <w:t>严格落实</w:t>
      </w:r>
      <w:r>
        <w:rPr>
          <w:rFonts w:hint="eastAsia" w:ascii="Times New Roman" w:hAnsi="Times New Roman" w:eastAsia="仿宋_GB2312" w:cs="Times New Roman"/>
          <w:b w:val="0"/>
          <w:bCs w:val="0"/>
          <w:color w:val="auto"/>
          <w:sz w:val="32"/>
          <w:szCs w:val="32"/>
          <w:highlight w:val="none"/>
          <w:lang w:eastAsia="zh-CN"/>
        </w:rPr>
        <w:t>违规</w:t>
      </w:r>
      <w:r>
        <w:rPr>
          <w:rFonts w:hint="default" w:ascii="Times New Roman" w:hAnsi="Times New Roman" w:eastAsia="仿宋_GB2312" w:cs="Times New Roman"/>
          <w:b w:val="0"/>
          <w:bCs w:val="0"/>
          <w:color w:val="auto"/>
          <w:sz w:val="32"/>
          <w:szCs w:val="32"/>
          <w:highlight w:val="none"/>
          <w:lang w:eastAsia="zh-CN"/>
        </w:rPr>
        <w:t>举债终身问责制和债务问题倒查机制，实施隐性债务问责闭环管理</w:t>
      </w:r>
      <w:r>
        <w:rPr>
          <w:rFonts w:hint="default" w:ascii="Times New Roman" w:hAnsi="Times New Roman" w:eastAsia="仿宋_GB2312" w:cs="Times New Roman"/>
          <w:b w:val="0"/>
          <w:bCs w:val="0"/>
          <w:color w:val="auto"/>
          <w:sz w:val="32"/>
          <w:szCs w:val="32"/>
          <w:highlight w:val="none"/>
        </w:rPr>
        <w:t>，</w:t>
      </w:r>
      <w:r>
        <w:rPr>
          <w:rFonts w:hint="eastAsia" w:ascii="Times New Roman" w:hAnsi="Times New Roman" w:eastAsia="仿宋_GB2312" w:cs="Times New Roman"/>
          <w:b w:val="0"/>
          <w:bCs w:val="0"/>
          <w:color w:val="auto"/>
          <w:sz w:val="32"/>
          <w:szCs w:val="32"/>
          <w:highlight w:val="none"/>
          <w:lang w:eastAsia="zh-CN"/>
        </w:rPr>
        <w:t>将不新增隐性债务作为铁的纪律，对违规举债严肃追责问责</w:t>
      </w:r>
      <w:r>
        <w:rPr>
          <w:rFonts w:hint="default" w:ascii="Times New Roman" w:hAnsi="Times New Roman" w:eastAsia="仿宋_GB2312" w:cs="Times New Roman"/>
          <w:b w:val="0"/>
          <w:bCs w:val="0"/>
          <w:color w:val="auto"/>
          <w:sz w:val="32"/>
          <w:szCs w:val="32"/>
          <w:highlight w:val="none"/>
        </w:rPr>
        <w:t>。</w:t>
      </w:r>
    </w:p>
    <w:p>
      <w:pPr>
        <w:keepNext w:val="0"/>
        <w:keepLines w:val="0"/>
        <w:pageBreakBefore w:val="0"/>
        <w:kinsoku/>
        <w:wordWrap/>
        <w:overflowPunct/>
        <w:topLinePunct w:val="0"/>
        <w:autoSpaceDE/>
        <w:autoSpaceDN/>
        <w:bidi w:val="0"/>
        <w:adjustRightInd/>
        <w:snapToGrid/>
        <w:spacing w:line="580" w:lineRule="exact"/>
        <w:ind w:right="770"/>
        <w:jc w:val="right"/>
        <w:textAlignment w:val="auto"/>
        <w:rPr>
          <w:rFonts w:hint="default" w:ascii="Times New Roman" w:hAnsi="Times New Roman"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80" w:lineRule="exact"/>
        <w:ind w:right="770"/>
        <w:jc w:val="right"/>
        <w:textAlignment w:val="auto"/>
        <w:rPr>
          <w:rFonts w:hint="default" w:ascii="Times New Roman" w:hAnsi="Times New Roman"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80" w:lineRule="exact"/>
        <w:ind w:right="1551" w:rightChars="517"/>
        <w:jc w:val="right"/>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四川省财政厅</w:t>
      </w:r>
    </w:p>
    <w:p>
      <w:pPr>
        <w:keepNext w:val="0"/>
        <w:keepLines w:val="0"/>
        <w:pageBreakBefore w:val="0"/>
        <w:kinsoku/>
        <w:wordWrap/>
        <w:overflowPunct/>
        <w:topLinePunct w:val="0"/>
        <w:autoSpaceDE/>
        <w:autoSpaceDN/>
        <w:bidi w:val="0"/>
        <w:adjustRightInd/>
        <w:snapToGrid/>
        <w:spacing w:line="580" w:lineRule="exact"/>
        <w:ind w:right="1245" w:rightChars="415"/>
        <w:jc w:val="right"/>
        <w:textAlignment w:val="auto"/>
        <w:rPr>
          <w:rFonts w:hint="default" w:ascii="Times New Roman" w:hAnsi="Times New Roman" w:cs="Times New Roman"/>
          <w:color w:val="auto"/>
          <w:sz w:val="32"/>
          <w:szCs w:val="32"/>
          <w:highlight w:val="none"/>
        </w:rPr>
      </w:pPr>
      <w:r>
        <w:rPr>
          <w:rFonts w:hint="eastAsia" w:cs="Times New Roman"/>
          <w:color w:val="auto"/>
          <w:sz w:val="32"/>
          <w:szCs w:val="32"/>
          <w:highlight w:val="none"/>
          <w:lang w:eastAsia="zh-CN"/>
        </w:rPr>
        <w:t>202</w:t>
      </w:r>
      <w:r>
        <w:rPr>
          <w:rFonts w:hint="default" w:cs="Times New Roman"/>
          <w:color w:val="auto"/>
          <w:sz w:val="32"/>
          <w:szCs w:val="32"/>
          <w:highlight w:val="none"/>
          <w:lang w:val="en" w:eastAsia="zh-CN"/>
        </w:rPr>
        <w:t>6</w:t>
      </w:r>
      <w:r>
        <w:rPr>
          <w:rFonts w:hint="eastAsia" w:cs="Times New Roman"/>
          <w:color w:val="auto"/>
          <w:sz w:val="32"/>
          <w:szCs w:val="32"/>
          <w:highlight w:val="none"/>
          <w:lang w:eastAsia="zh-CN"/>
        </w:rPr>
        <w:t>年</w:t>
      </w:r>
      <w:r>
        <w:rPr>
          <w:rFonts w:hint="eastAsia"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月</w:t>
      </w:r>
      <w:r>
        <w:rPr>
          <w:rFonts w:hint="eastAsia" w:cs="Times New Roman"/>
          <w:color w:val="auto"/>
          <w:sz w:val="32"/>
          <w:szCs w:val="32"/>
          <w:highlight w:val="none"/>
          <w:lang w:val="en-US" w:eastAsia="zh-CN"/>
        </w:rPr>
        <w:t>17</w:t>
      </w:r>
      <w:r>
        <w:rPr>
          <w:rFonts w:hint="default" w:ascii="Times New Roman" w:hAnsi="Times New Roman" w:cs="Times New Roman"/>
          <w:color w:val="auto"/>
          <w:sz w:val="32"/>
          <w:szCs w:val="32"/>
          <w:highlight w:val="none"/>
        </w:rPr>
        <w:t>日</w:t>
      </w:r>
    </w:p>
    <w:p>
      <w:pPr>
        <w:keepNext w:val="0"/>
        <w:keepLines w:val="0"/>
        <w:pageBreakBefore w:val="0"/>
        <w:kinsoku/>
        <w:wordWrap/>
        <w:overflowPunct/>
        <w:topLinePunct w:val="0"/>
        <w:autoSpaceDE/>
        <w:autoSpaceDN/>
        <w:bidi w:val="0"/>
        <w:adjustRightInd/>
        <w:snapToGrid/>
        <w:spacing w:line="580" w:lineRule="exact"/>
        <w:ind w:right="1245" w:rightChars="415"/>
        <w:jc w:val="right"/>
        <w:textAlignment w:val="auto"/>
        <w:rPr>
          <w:rFonts w:hint="default" w:ascii="Times New Roman" w:hAnsi="Times New Roman" w:cs="Times New Roman"/>
          <w:color w:val="auto"/>
          <w:sz w:val="32"/>
          <w:szCs w:val="32"/>
          <w:highlight w:val="none"/>
        </w:rPr>
      </w:pPr>
    </w:p>
    <w:sectPr>
      <w:footerReference r:id="rId3" w:type="default"/>
      <w:footerReference r:id="rId4" w:type="even"/>
      <w:pgSz w:w="11906" w:h="16838"/>
      <w:pgMar w:top="1757" w:right="1474" w:bottom="1871" w:left="1588" w:header="851" w:footer="992" w:gutter="0"/>
      <w:pgNumType w:fmt="numberInDash"/>
      <w:cols w:space="0" w:num="1"/>
      <w:rtlGutter w:val="0"/>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429278"/>
      <w:docPartObj>
        <w:docPartGallery w:val="autotext"/>
      </w:docPartObj>
    </w:sdtPr>
    <w:sdtEndPr>
      <w:rPr>
        <w:rFonts w:asciiTheme="minorEastAsia" w:hAnsiTheme="minorEastAsia"/>
        <w:sz w:val="28"/>
        <w:szCs w:val="28"/>
      </w:rPr>
    </w:sdtEndPr>
    <w:sdtContent>
      <w:p>
        <w:pPr>
          <w:pStyle w:val="6"/>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9 -</w:t>
        </w:r>
        <w:r>
          <w:rPr>
            <w:rFonts w:asciiTheme="minorEastAsia" w:hAnsiTheme="minorEastAsia"/>
            <w:sz w:val="28"/>
            <w:szCs w:val="28"/>
          </w:rP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429279"/>
      <w:docPartObj>
        <w:docPartGallery w:val="autotext"/>
      </w:docPartObj>
    </w:sdtPr>
    <w:sdtEndPr>
      <w:rPr>
        <w:rFonts w:asciiTheme="minorEastAsia" w:hAnsiTheme="minorEastAsia"/>
        <w:sz w:val="28"/>
        <w:szCs w:val="28"/>
      </w:rPr>
    </w:sdtEndPr>
    <w:sdtContent>
      <w:p>
        <w:pPr>
          <w:pStyle w:val="6"/>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8 -</w:t>
        </w:r>
        <w:r>
          <w:rPr>
            <w:rFonts w:asciiTheme="minorEastAsia" w:hAnsiTheme="minorEastAsia"/>
            <w:sz w:val="28"/>
            <w:szCs w:val="28"/>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430BE2"/>
    <w:multiLevelType w:val="singleLevel"/>
    <w:tmpl w:val="EE430BE2"/>
    <w:lvl w:ilvl="0" w:tentative="0">
      <w:start w:val="4"/>
      <w:numFmt w:val="chineseCounting"/>
      <w:suff w:val="nothing"/>
      <w:lvlText w:val="%1、"/>
      <w:lvlJc w:val="left"/>
      <w:pPr>
        <w:ind w:left="640" w:leftChars="0" w:firstLine="0" w:firstLineChars="0"/>
      </w:pPr>
      <w:rPr>
        <w:rFonts w:hint="eastAsia"/>
      </w:rPr>
    </w:lvl>
  </w:abstractNum>
  <w:abstractNum w:abstractNumId="1">
    <w:nsid w:val="F7C65B72"/>
    <w:multiLevelType w:val="singleLevel"/>
    <w:tmpl w:val="F7C65B72"/>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evenAndOddHeaders w:val="true"/>
  <w:drawingGridHorizontalSpacing w:val="150"/>
  <w:drawingGridVerticalSpacing w:val="204"/>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wYzE3YWExNzRhZWE0NjUzYzc4ZjdjNzA2MWRkMjcifQ=="/>
  </w:docVars>
  <w:rsids>
    <w:rsidRoot w:val="00D75D48"/>
    <w:rsid w:val="00003E0D"/>
    <w:rsid w:val="0000494F"/>
    <w:rsid w:val="00006366"/>
    <w:rsid w:val="00011EFF"/>
    <w:rsid w:val="00013565"/>
    <w:rsid w:val="00014F5C"/>
    <w:rsid w:val="00042444"/>
    <w:rsid w:val="000434E1"/>
    <w:rsid w:val="0004465C"/>
    <w:rsid w:val="00050F45"/>
    <w:rsid w:val="0005104D"/>
    <w:rsid w:val="00051067"/>
    <w:rsid w:val="00064B6B"/>
    <w:rsid w:val="00072ECB"/>
    <w:rsid w:val="00076E3A"/>
    <w:rsid w:val="00086525"/>
    <w:rsid w:val="000B5961"/>
    <w:rsid w:val="000B5B7E"/>
    <w:rsid w:val="000B7854"/>
    <w:rsid w:val="000C057D"/>
    <w:rsid w:val="000C06BC"/>
    <w:rsid w:val="000C478F"/>
    <w:rsid w:val="000C61D3"/>
    <w:rsid w:val="000D26F6"/>
    <w:rsid w:val="000D2B72"/>
    <w:rsid w:val="000D6165"/>
    <w:rsid w:val="000E3A19"/>
    <w:rsid w:val="00100DFA"/>
    <w:rsid w:val="00103061"/>
    <w:rsid w:val="00111B35"/>
    <w:rsid w:val="00112550"/>
    <w:rsid w:val="00112C8E"/>
    <w:rsid w:val="00114227"/>
    <w:rsid w:val="00114AAC"/>
    <w:rsid w:val="0011601A"/>
    <w:rsid w:val="00122059"/>
    <w:rsid w:val="001304D1"/>
    <w:rsid w:val="001308F0"/>
    <w:rsid w:val="001313BE"/>
    <w:rsid w:val="0013220C"/>
    <w:rsid w:val="0013365E"/>
    <w:rsid w:val="00145A97"/>
    <w:rsid w:val="0015095B"/>
    <w:rsid w:val="00150AC6"/>
    <w:rsid w:val="001516FD"/>
    <w:rsid w:val="00152AC1"/>
    <w:rsid w:val="001604AA"/>
    <w:rsid w:val="00162AFA"/>
    <w:rsid w:val="00163296"/>
    <w:rsid w:val="00167196"/>
    <w:rsid w:val="00172DB6"/>
    <w:rsid w:val="00174E86"/>
    <w:rsid w:val="001771B7"/>
    <w:rsid w:val="001845A6"/>
    <w:rsid w:val="00191893"/>
    <w:rsid w:val="001967F2"/>
    <w:rsid w:val="001A1B79"/>
    <w:rsid w:val="001B15E9"/>
    <w:rsid w:val="001B2A8F"/>
    <w:rsid w:val="001B33BC"/>
    <w:rsid w:val="001C5458"/>
    <w:rsid w:val="001D0426"/>
    <w:rsid w:val="001E1271"/>
    <w:rsid w:val="001F2BD7"/>
    <w:rsid w:val="001F65CB"/>
    <w:rsid w:val="00201608"/>
    <w:rsid w:val="0021141B"/>
    <w:rsid w:val="002128A8"/>
    <w:rsid w:val="00214C8D"/>
    <w:rsid w:val="00215BF8"/>
    <w:rsid w:val="00224B21"/>
    <w:rsid w:val="00227533"/>
    <w:rsid w:val="00232C05"/>
    <w:rsid w:val="002357DE"/>
    <w:rsid w:val="0023682D"/>
    <w:rsid w:val="00240592"/>
    <w:rsid w:val="00240B03"/>
    <w:rsid w:val="0024109D"/>
    <w:rsid w:val="0025728B"/>
    <w:rsid w:val="002622FC"/>
    <w:rsid w:val="00266CD1"/>
    <w:rsid w:val="00267A87"/>
    <w:rsid w:val="00274608"/>
    <w:rsid w:val="00286EF0"/>
    <w:rsid w:val="00291577"/>
    <w:rsid w:val="002973D9"/>
    <w:rsid w:val="002979A1"/>
    <w:rsid w:val="002A1BF4"/>
    <w:rsid w:val="002A2309"/>
    <w:rsid w:val="002A3BC7"/>
    <w:rsid w:val="002A5445"/>
    <w:rsid w:val="002A5D72"/>
    <w:rsid w:val="002A729F"/>
    <w:rsid w:val="002B14F3"/>
    <w:rsid w:val="002B7582"/>
    <w:rsid w:val="002B7F17"/>
    <w:rsid w:val="002C08AD"/>
    <w:rsid w:val="002C0B80"/>
    <w:rsid w:val="002C2F9A"/>
    <w:rsid w:val="002D09F3"/>
    <w:rsid w:val="002D34DE"/>
    <w:rsid w:val="002D3E97"/>
    <w:rsid w:val="002D7B82"/>
    <w:rsid w:val="002E3BF3"/>
    <w:rsid w:val="002E3CAF"/>
    <w:rsid w:val="002E7F88"/>
    <w:rsid w:val="002F02C0"/>
    <w:rsid w:val="002F51FB"/>
    <w:rsid w:val="002F6DDA"/>
    <w:rsid w:val="00300299"/>
    <w:rsid w:val="003142FA"/>
    <w:rsid w:val="003201E1"/>
    <w:rsid w:val="00323F8A"/>
    <w:rsid w:val="00330ADC"/>
    <w:rsid w:val="0033296F"/>
    <w:rsid w:val="00334122"/>
    <w:rsid w:val="00334C10"/>
    <w:rsid w:val="00334EBB"/>
    <w:rsid w:val="00337972"/>
    <w:rsid w:val="00340EAF"/>
    <w:rsid w:val="00345D80"/>
    <w:rsid w:val="00345E5A"/>
    <w:rsid w:val="00347B91"/>
    <w:rsid w:val="0035563B"/>
    <w:rsid w:val="0037122D"/>
    <w:rsid w:val="00372C4C"/>
    <w:rsid w:val="00377FC2"/>
    <w:rsid w:val="00381216"/>
    <w:rsid w:val="003823B9"/>
    <w:rsid w:val="0038792C"/>
    <w:rsid w:val="00387BB4"/>
    <w:rsid w:val="003949A1"/>
    <w:rsid w:val="003968AB"/>
    <w:rsid w:val="003A2602"/>
    <w:rsid w:val="003A336F"/>
    <w:rsid w:val="003A376D"/>
    <w:rsid w:val="003A7080"/>
    <w:rsid w:val="003C1A8A"/>
    <w:rsid w:val="003C509D"/>
    <w:rsid w:val="003D16F1"/>
    <w:rsid w:val="003D2881"/>
    <w:rsid w:val="003D5824"/>
    <w:rsid w:val="003E5B33"/>
    <w:rsid w:val="003E7CBF"/>
    <w:rsid w:val="003F7949"/>
    <w:rsid w:val="004025DD"/>
    <w:rsid w:val="00405B5D"/>
    <w:rsid w:val="004244C3"/>
    <w:rsid w:val="00427BCA"/>
    <w:rsid w:val="00430B0B"/>
    <w:rsid w:val="00435BA4"/>
    <w:rsid w:val="0045340E"/>
    <w:rsid w:val="00464202"/>
    <w:rsid w:val="004665B7"/>
    <w:rsid w:val="00482921"/>
    <w:rsid w:val="00484B65"/>
    <w:rsid w:val="00493BA0"/>
    <w:rsid w:val="0049492E"/>
    <w:rsid w:val="00495E42"/>
    <w:rsid w:val="004C0034"/>
    <w:rsid w:val="004C4227"/>
    <w:rsid w:val="004C4C68"/>
    <w:rsid w:val="004C52D6"/>
    <w:rsid w:val="004C5559"/>
    <w:rsid w:val="004C68A8"/>
    <w:rsid w:val="004C6AB9"/>
    <w:rsid w:val="004D711D"/>
    <w:rsid w:val="004E4A3D"/>
    <w:rsid w:val="004E758F"/>
    <w:rsid w:val="004F3907"/>
    <w:rsid w:val="004F4EDC"/>
    <w:rsid w:val="005066EB"/>
    <w:rsid w:val="0051060A"/>
    <w:rsid w:val="00514186"/>
    <w:rsid w:val="005164E3"/>
    <w:rsid w:val="005266A3"/>
    <w:rsid w:val="00530BCF"/>
    <w:rsid w:val="0054212C"/>
    <w:rsid w:val="00547F50"/>
    <w:rsid w:val="00550728"/>
    <w:rsid w:val="00551339"/>
    <w:rsid w:val="00553278"/>
    <w:rsid w:val="005564ED"/>
    <w:rsid w:val="00560934"/>
    <w:rsid w:val="00562DBE"/>
    <w:rsid w:val="0057119A"/>
    <w:rsid w:val="00575715"/>
    <w:rsid w:val="00582986"/>
    <w:rsid w:val="00585D39"/>
    <w:rsid w:val="005939A3"/>
    <w:rsid w:val="00596800"/>
    <w:rsid w:val="005B7EF1"/>
    <w:rsid w:val="005C3F98"/>
    <w:rsid w:val="005C4897"/>
    <w:rsid w:val="005C5FE3"/>
    <w:rsid w:val="005D7486"/>
    <w:rsid w:val="005D77D3"/>
    <w:rsid w:val="005E428F"/>
    <w:rsid w:val="005F3BAA"/>
    <w:rsid w:val="00600229"/>
    <w:rsid w:val="00600D0F"/>
    <w:rsid w:val="00602DC6"/>
    <w:rsid w:val="00604732"/>
    <w:rsid w:val="00610FF1"/>
    <w:rsid w:val="0061500F"/>
    <w:rsid w:val="00626C40"/>
    <w:rsid w:val="00633023"/>
    <w:rsid w:val="00640201"/>
    <w:rsid w:val="00642D24"/>
    <w:rsid w:val="0064355D"/>
    <w:rsid w:val="00650C3F"/>
    <w:rsid w:val="00665F72"/>
    <w:rsid w:val="006740B9"/>
    <w:rsid w:val="00676073"/>
    <w:rsid w:val="00680AB5"/>
    <w:rsid w:val="0068465F"/>
    <w:rsid w:val="0068663E"/>
    <w:rsid w:val="00692FD2"/>
    <w:rsid w:val="00694C5B"/>
    <w:rsid w:val="00695408"/>
    <w:rsid w:val="006B060D"/>
    <w:rsid w:val="006B0DF3"/>
    <w:rsid w:val="006B2B7B"/>
    <w:rsid w:val="006C2963"/>
    <w:rsid w:val="006C5601"/>
    <w:rsid w:val="006C6E5C"/>
    <w:rsid w:val="006E36A4"/>
    <w:rsid w:val="006F1D06"/>
    <w:rsid w:val="006F3245"/>
    <w:rsid w:val="006F61C3"/>
    <w:rsid w:val="006F741D"/>
    <w:rsid w:val="00720087"/>
    <w:rsid w:val="0073154D"/>
    <w:rsid w:val="00735355"/>
    <w:rsid w:val="00736241"/>
    <w:rsid w:val="007439DF"/>
    <w:rsid w:val="00744D83"/>
    <w:rsid w:val="0074763B"/>
    <w:rsid w:val="00751DC4"/>
    <w:rsid w:val="00752172"/>
    <w:rsid w:val="0075416B"/>
    <w:rsid w:val="00755C05"/>
    <w:rsid w:val="00761AB3"/>
    <w:rsid w:val="0076444B"/>
    <w:rsid w:val="007649E4"/>
    <w:rsid w:val="00780DBC"/>
    <w:rsid w:val="00782D0A"/>
    <w:rsid w:val="0078416A"/>
    <w:rsid w:val="007923F9"/>
    <w:rsid w:val="007932C3"/>
    <w:rsid w:val="007A058B"/>
    <w:rsid w:val="007A06F5"/>
    <w:rsid w:val="007A14E8"/>
    <w:rsid w:val="007B35D3"/>
    <w:rsid w:val="007B6043"/>
    <w:rsid w:val="007C317A"/>
    <w:rsid w:val="007C69F9"/>
    <w:rsid w:val="007E1599"/>
    <w:rsid w:val="007E6026"/>
    <w:rsid w:val="007F1013"/>
    <w:rsid w:val="007F4D11"/>
    <w:rsid w:val="00805FEC"/>
    <w:rsid w:val="00823002"/>
    <w:rsid w:val="008277DF"/>
    <w:rsid w:val="008329C9"/>
    <w:rsid w:val="00842479"/>
    <w:rsid w:val="0085799F"/>
    <w:rsid w:val="00860197"/>
    <w:rsid w:val="008604DB"/>
    <w:rsid w:val="00875865"/>
    <w:rsid w:val="00882426"/>
    <w:rsid w:val="008A3224"/>
    <w:rsid w:val="008A34A3"/>
    <w:rsid w:val="008B05D3"/>
    <w:rsid w:val="008B315F"/>
    <w:rsid w:val="008C35ED"/>
    <w:rsid w:val="008C4FD4"/>
    <w:rsid w:val="008C6AE1"/>
    <w:rsid w:val="008D25AF"/>
    <w:rsid w:val="008D45E6"/>
    <w:rsid w:val="008E05EB"/>
    <w:rsid w:val="008E1B60"/>
    <w:rsid w:val="008E7510"/>
    <w:rsid w:val="008F5C66"/>
    <w:rsid w:val="008F6CA8"/>
    <w:rsid w:val="008F72BE"/>
    <w:rsid w:val="00903207"/>
    <w:rsid w:val="0090767E"/>
    <w:rsid w:val="009130BC"/>
    <w:rsid w:val="00914DD3"/>
    <w:rsid w:val="009206E8"/>
    <w:rsid w:val="0093170E"/>
    <w:rsid w:val="0093596A"/>
    <w:rsid w:val="0093659F"/>
    <w:rsid w:val="00937A19"/>
    <w:rsid w:val="0094120E"/>
    <w:rsid w:val="00941341"/>
    <w:rsid w:val="009453ED"/>
    <w:rsid w:val="00945FE3"/>
    <w:rsid w:val="00946E22"/>
    <w:rsid w:val="009476E0"/>
    <w:rsid w:val="00950A16"/>
    <w:rsid w:val="009522E0"/>
    <w:rsid w:val="0096257C"/>
    <w:rsid w:val="00962A38"/>
    <w:rsid w:val="009804C9"/>
    <w:rsid w:val="00983021"/>
    <w:rsid w:val="0098705B"/>
    <w:rsid w:val="009A0FE4"/>
    <w:rsid w:val="009A25EC"/>
    <w:rsid w:val="009A4DDB"/>
    <w:rsid w:val="009C34ED"/>
    <w:rsid w:val="009C3C74"/>
    <w:rsid w:val="009F1EEC"/>
    <w:rsid w:val="009F34D2"/>
    <w:rsid w:val="00A011C8"/>
    <w:rsid w:val="00A02AE3"/>
    <w:rsid w:val="00A07ACF"/>
    <w:rsid w:val="00A324CA"/>
    <w:rsid w:val="00A33145"/>
    <w:rsid w:val="00A3391E"/>
    <w:rsid w:val="00A35BC8"/>
    <w:rsid w:val="00A35D46"/>
    <w:rsid w:val="00A43D8B"/>
    <w:rsid w:val="00A47A81"/>
    <w:rsid w:val="00A561E2"/>
    <w:rsid w:val="00A56E82"/>
    <w:rsid w:val="00A719B0"/>
    <w:rsid w:val="00A7244E"/>
    <w:rsid w:val="00A82813"/>
    <w:rsid w:val="00A830EF"/>
    <w:rsid w:val="00AA43CF"/>
    <w:rsid w:val="00AA4A2D"/>
    <w:rsid w:val="00AB2401"/>
    <w:rsid w:val="00AB6350"/>
    <w:rsid w:val="00AC3112"/>
    <w:rsid w:val="00AC3A34"/>
    <w:rsid w:val="00AC419C"/>
    <w:rsid w:val="00AC624B"/>
    <w:rsid w:val="00AD05D7"/>
    <w:rsid w:val="00AD61CC"/>
    <w:rsid w:val="00AE6F6C"/>
    <w:rsid w:val="00AE714A"/>
    <w:rsid w:val="00AF40BE"/>
    <w:rsid w:val="00AF5CDA"/>
    <w:rsid w:val="00B06264"/>
    <w:rsid w:val="00B102AA"/>
    <w:rsid w:val="00B10D79"/>
    <w:rsid w:val="00B2135E"/>
    <w:rsid w:val="00B226F7"/>
    <w:rsid w:val="00B327F3"/>
    <w:rsid w:val="00B4000D"/>
    <w:rsid w:val="00B41E90"/>
    <w:rsid w:val="00B44C31"/>
    <w:rsid w:val="00B47F9D"/>
    <w:rsid w:val="00B53FB4"/>
    <w:rsid w:val="00B56F46"/>
    <w:rsid w:val="00B72F85"/>
    <w:rsid w:val="00B82AF9"/>
    <w:rsid w:val="00B87910"/>
    <w:rsid w:val="00B92CEE"/>
    <w:rsid w:val="00B93A57"/>
    <w:rsid w:val="00B95310"/>
    <w:rsid w:val="00BA167C"/>
    <w:rsid w:val="00BA6B94"/>
    <w:rsid w:val="00BA6E45"/>
    <w:rsid w:val="00BB2163"/>
    <w:rsid w:val="00BC2577"/>
    <w:rsid w:val="00BC3464"/>
    <w:rsid w:val="00BC51B9"/>
    <w:rsid w:val="00BD245A"/>
    <w:rsid w:val="00BE4337"/>
    <w:rsid w:val="00BE68E5"/>
    <w:rsid w:val="00BF4D15"/>
    <w:rsid w:val="00BF71C9"/>
    <w:rsid w:val="00C038DF"/>
    <w:rsid w:val="00C06861"/>
    <w:rsid w:val="00C20263"/>
    <w:rsid w:val="00C40314"/>
    <w:rsid w:val="00C444C7"/>
    <w:rsid w:val="00C47AA5"/>
    <w:rsid w:val="00C50294"/>
    <w:rsid w:val="00C529E7"/>
    <w:rsid w:val="00C6156D"/>
    <w:rsid w:val="00C62064"/>
    <w:rsid w:val="00C7589A"/>
    <w:rsid w:val="00C84294"/>
    <w:rsid w:val="00C852B6"/>
    <w:rsid w:val="00C9214A"/>
    <w:rsid w:val="00CA3232"/>
    <w:rsid w:val="00CA6E89"/>
    <w:rsid w:val="00CA77C9"/>
    <w:rsid w:val="00CB489A"/>
    <w:rsid w:val="00CC0E88"/>
    <w:rsid w:val="00CC2E85"/>
    <w:rsid w:val="00CC799C"/>
    <w:rsid w:val="00CF31CD"/>
    <w:rsid w:val="00CF3D74"/>
    <w:rsid w:val="00CF5696"/>
    <w:rsid w:val="00D00810"/>
    <w:rsid w:val="00D03452"/>
    <w:rsid w:val="00D104EB"/>
    <w:rsid w:val="00D11CB7"/>
    <w:rsid w:val="00D1781A"/>
    <w:rsid w:val="00D32A6E"/>
    <w:rsid w:val="00D504E8"/>
    <w:rsid w:val="00D5233B"/>
    <w:rsid w:val="00D7550D"/>
    <w:rsid w:val="00D7555B"/>
    <w:rsid w:val="00D75D48"/>
    <w:rsid w:val="00D77978"/>
    <w:rsid w:val="00D85504"/>
    <w:rsid w:val="00D8741B"/>
    <w:rsid w:val="00DB5AC3"/>
    <w:rsid w:val="00DC17D9"/>
    <w:rsid w:val="00DD1D62"/>
    <w:rsid w:val="00DD26A2"/>
    <w:rsid w:val="00DD3E1B"/>
    <w:rsid w:val="00DE6433"/>
    <w:rsid w:val="00E10F67"/>
    <w:rsid w:val="00E1148A"/>
    <w:rsid w:val="00E17D51"/>
    <w:rsid w:val="00E22020"/>
    <w:rsid w:val="00E235BC"/>
    <w:rsid w:val="00E32864"/>
    <w:rsid w:val="00E41D77"/>
    <w:rsid w:val="00E42997"/>
    <w:rsid w:val="00E4663D"/>
    <w:rsid w:val="00E47E28"/>
    <w:rsid w:val="00E5234B"/>
    <w:rsid w:val="00E56A3D"/>
    <w:rsid w:val="00E60E8A"/>
    <w:rsid w:val="00E71238"/>
    <w:rsid w:val="00E76861"/>
    <w:rsid w:val="00E772A1"/>
    <w:rsid w:val="00E772BF"/>
    <w:rsid w:val="00E90656"/>
    <w:rsid w:val="00E936E4"/>
    <w:rsid w:val="00EA26F8"/>
    <w:rsid w:val="00EA2AAD"/>
    <w:rsid w:val="00EA40C1"/>
    <w:rsid w:val="00EB5097"/>
    <w:rsid w:val="00EB5454"/>
    <w:rsid w:val="00ED1508"/>
    <w:rsid w:val="00ED6FE6"/>
    <w:rsid w:val="00EE6008"/>
    <w:rsid w:val="00EF1C60"/>
    <w:rsid w:val="00EF1CC2"/>
    <w:rsid w:val="00EF31C6"/>
    <w:rsid w:val="00EF3840"/>
    <w:rsid w:val="00F00E77"/>
    <w:rsid w:val="00F04C63"/>
    <w:rsid w:val="00F27D3E"/>
    <w:rsid w:val="00F42F48"/>
    <w:rsid w:val="00F462D4"/>
    <w:rsid w:val="00F471C3"/>
    <w:rsid w:val="00F51C62"/>
    <w:rsid w:val="00F5604D"/>
    <w:rsid w:val="00F608E6"/>
    <w:rsid w:val="00F63BBE"/>
    <w:rsid w:val="00F75EDA"/>
    <w:rsid w:val="00F77D70"/>
    <w:rsid w:val="00F83D49"/>
    <w:rsid w:val="00F9013C"/>
    <w:rsid w:val="00F95D94"/>
    <w:rsid w:val="00FB39F4"/>
    <w:rsid w:val="00FC695D"/>
    <w:rsid w:val="00FD07FC"/>
    <w:rsid w:val="00FD2A72"/>
    <w:rsid w:val="00FD3028"/>
    <w:rsid w:val="00FE0BEE"/>
    <w:rsid w:val="00FE2422"/>
    <w:rsid w:val="00FE5331"/>
    <w:rsid w:val="00FF1B46"/>
    <w:rsid w:val="00FF53BF"/>
    <w:rsid w:val="00FF57F6"/>
    <w:rsid w:val="00FF6F1F"/>
    <w:rsid w:val="07E50E92"/>
    <w:rsid w:val="0A18711E"/>
    <w:rsid w:val="0A365806"/>
    <w:rsid w:val="0AC319AC"/>
    <w:rsid w:val="0CC872A8"/>
    <w:rsid w:val="0F5E2B9C"/>
    <w:rsid w:val="0FCAD5FD"/>
    <w:rsid w:val="12EB54C2"/>
    <w:rsid w:val="15EFB84A"/>
    <w:rsid w:val="16974C50"/>
    <w:rsid w:val="16BFDA76"/>
    <w:rsid w:val="177D3A52"/>
    <w:rsid w:val="17B6C2A3"/>
    <w:rsid w:val="17CE2129"/>
    <w:rsid w:val="17FFA77D"/>
    <w:rsid w:val="1B672BB3"/>
    <w:rsid w:val="1B67B585"/>
    <w:rsid w:val="1B7FC8E2"/>
    <w:rsid w:val="1BF15E06"/>
    <w:rsid w:val="1BFA4442"/>
    <w:rsid w:val="1BFFC1B4"/>
    <w:rsid w:val="1D3C0843"/>
    <w:rsid w:val="1E584D33"/>
    <w:rsid w:val="1EF3C8EF"/>
    <w:rsid w:val="1F2B8970"/>
    <w:rsid w:val="1F7F37F3"/>
    <w:rsid w:val="1FB95731"/>
    <w:rsid w:val="1FEF0EED"/>
    <w:rsid w:val="1FF86D77"/>
    <w:rsid w:val="273A1534"/>
    <w:rsid w:val="27EF5ADE"/>
    <w:rsid w:val="27FB4DFE"/>
    <w:rsid w:val="292BBD26"/>
    <w:rsid w:val="29447E57"/>
    <w:rsid w:val="2B5D29AE"/>
    <w:rsid w:val="2C335417"/>
    <w:rsid w:val="2D2F22EB"/>
    <w:rsid w:val="2DBF1862"/>
    <w:rsid w:val="2E7BB22E"/>
    <w:rsid w:val="2ED5C25D"/>
    <w:rsid w:val="2F7949F8"/>
    <w:rsid w:val="2FFB7B0E"/>
    <w:rsid w:val="33BD96C9"/>
    <w:rsid w:val="3478FD3B"/>
    <w:rsid w:val="35FD6B84"/>
    <w:rsid w:val="35FF6C41"/>
    <w:rsid w:val="35FFA103"/>
    <w:rsid w:val="365FE963"/>
    <w:rsid w:val="37D270A9"/>
    <w:rsid w:val="37F7809A"/>
    <w:rsid w:val="399565E0"/>
    <w:rsid w:val="3ADDA097"/>
    <w:rsid w:val="3B7E7D56"/>
    <w:rsid w:val="3BBE0F9A"/>
    <w:rsid w:val="3BCF7730"/>
    <w:rsid w:val="3BF725E0"/>
    <w:rsid w:val="3BFBF273"/>
    <w:rsid w:val="3BFD26E4"/>
    <w:rsid w:val="3BFF0771"/>
    <w:rsid w:val="3CFF72C5"/>
    <w:rsid w:val="3D6EE5C6"/>
    <w:rsid w:val="3D9DD624"/>
    <w:rsid w:val="3DAB5EBA"/>
    <w:rsid w:val="3DEFA9F2"/>
    <w:rsid w:val="3DF3C86E"/>
    <w:rsid w:val="3E7B43AC"/>
    <w:rsid w:val="3E8D37BC"/>
    <w:rsid w:val="3ECAC84C"/>
    <w:rsid w:val="3EFB41F2"/>
    <w:rsid w:val="3F5F4240"/>
    <w:rsid w:val="3F7BEE77"/>
    <w:rsid w:val="3FB668E4"/>
    <w:rsid w:val="3FBFF260"/>
    <w:rsid w:val="3FD92A3E"/>
    <w:rsid w:val="3FEF23FA"/>
    <w:rsid w:val="3FF0DCC8"/>
    <w:rsid w:val="3FF57F37"/>
    <w:rsid w:val="3FF7137C"/>
    <w:rsid w:val="3FF71C72"/>
    <w:rsid w:val="3FFB5F92"/>
    <w:rsid w:val="3FFF50AD"/>
    <w:rsid w:val="408E73B5"/>
    <w:rsid w:val="4305631D"/>
    <w:rsid w:val="45F8CE6B"/>
    <w:rsid w:val="47BF50EF"/>
    <w:rsid w:val="47DFF301"/>
    <w:rsid w:val="48BFAD72"/>
    <w:rsid w:val="4B2A2E6E"/>
    <w:rsid w:val="4D32FB4C"/>
    <w:rsid w:val="4EBF3093"/>
    <w:rsid w:val="4EDFAE00"/>
    <w:rsid w:val="4FAF7337"/>
    <w:rsid w:val="4FFAE02C"/>
    <w:rsid w:val="4FFF460D"/>
    <w:rsid w:val="507F6372"/>
    <w:rsid w:val="536F073F"/>
    <w:rsid w:val="53731939"/>
    <w:rsid w:val="53E90DC1"/>
    <w:rsid w:val="54680721"/>
    <w:rsid w:val="54F3BD53"/>
    <w:rsid w:val="54FF9442"/>
    <w:rsid w:val="554D5EAC"/>
    <w:rsid w:val="573568B4"/>
    <w:rsid w:val="57BAD169"/>
    <w:rsid w:val="57DF3D15"/>
    <w:rsid w:val="57DFDC94"/>
    <w:rsid w:val="57EB7B42"/>
    <w:rsid w:val="57FD754E"/>
    <w:rsid w:val="57FEF054"/>
    <w:rsid w:val="57FF76F9"/>
    <w:rsid w:val="5B27C3AC"/>
    <w:rsid w:val="5BABDEC5"/>
    <w:rsid w:val="5BDFA3DF"/>
    <w:rsid w:val="5BEB01AA"/>
    <w:rsid w:val="5BFD30E1"/>
    <w:rsid w:val="5D5F4A20"/>
    <w:rsid w:val="5D7BF844"/>
    <w:rsid w:val="5DBFCF28"/>
    <w:rsid w:val="5DFB2A50"/>
    <w:rsid w:val="5E7F692A"/>
    <w:rsid w:val="5EDD40C0"/>
    <w:rsid w:val="5EDF67C8"/>
    <w:rsid w:val="5EFF05BA"/>
    <w:rsid w:val="5F1F31B7"/>
    <w:rsid w:val="5F3E4F45"/>
    <w:rsid w:val="5F6F13BD"/>
    <w:rsid w:val="5F6F1C9E"/>
    <w:rsid w:val="5F7E92C4"/>
    <w:rsid w:val="5FAB9A0B"/>
    <w:rsid w:val="5FE12A79"/>
    <w:rsid w:val="5FE56F25"/>
    <w:rsid w:val="5FEFBC4C"/>
    <w:rsid w:val="5FF876FE"/>
    <w:rsid w:val="5FFD044C"/>
    <w:rsid w:val="5FFFD7D0"/>
    <w:rsid w:val="5FFFFB39"/>
    <w:rsid w:val="60D82ACC"/>
    <w:rsid w:val="616B1851"/>
    <w:rsid w:val="6175FF83"/>
    <w:rsid w:val="626D2A76"/>
    <w:rsid w:val="62FEF3EA"/>
    <w:rsid w:val="63F53E4A"/>
    <w:rsid w:val="64112789"/>
    <w:rsid w:val="671013B3"/>
    <w:rsid w:val="69DC461E"/>
    <w:rsid w:val="6AEF0117"/>
    <w:rsid w:val="6BCE4C44"/>
    <w:rsid w:val="6BDE6032"/>
    <w:rsid w:val="6BDF05C4"/>
    <w:rsid w:val="6BDF36B5"/>
    <w:rsid w:val="6BEE630D"/>
    <w:rsid w:val="6BEFA911"/>
    <w:rsid w:val="6BF75424"/>
    <w:rsid w:val="6BFF8BC0"/>
    <w:rsid w:val="6C07ADE2"/>
    <w:rsid w:val="6D3E6A51"/>
    <w:rsid w:val="6D57D810"/>
    <w:rsid w:val="6DB123F6"/>
    <w:rsid w:val="6DE7862E"/>
    <w:rsid w:val="6DFC43BE"/>
    <w:rsid w:val="6DFD60E9"/>
    <w:rsid w:val="6DFE4A2C"/>
    <w:rsid w:val="6DFF793F"/>
    <w:rsid w:val="6E11552E"/>
    <w:rsid w:val="6E7B86E4"/>
    <w:rsid w:val="6EB788C1"/>
    <w:rsid w:val="6EBB229C"/>
    <w:rsid w:val="6EDE8759"/>
    <w:rsid w:val="6EDEF351"/>
    <w:rsid w:val="6EFA30DF"/>
    <w:rsid w:val="6EFE97D7"/>
    <w:rsid w:val="6F6FC48D"/>
    <w:rsid w:val="6F75BB17"/>
    <w:rsid w:val="6F7D0098"/>
    <w:rsid w:val="6FBF8D8F"/>
    <w:rsid w:val="6FCF9866"/>
    <w:rsid w:val="6FDD6BFC"/>
    <w:rsid w:val="6FDFA035"/>
    <w:rsid w:val="6FF52F76"/>
    <w:rsid w:val="6FFDD9A5"/>
    <w:rsid w:val="6FFF0B70"/>
    <w:rsid w:val="6FFFA9D8"/>
    <w:rsid w:val="7092126C"/>
    <w:rsid w:val="71775D74"/>
    <w:rsid w:val="71BA0C33"/>
    <w:rsid w:val="71F33F0B"/>
    <w:rsid w:val="72FF21FE"/>
    <w:rsid w:val="73577D8C"/>
    <w:rsid w:val="73F8844F"/>
    <w:rsid w:val="73FEF53F"/>
    <w:rsid w:val="74BF941C"/>
    <w:rsid w:val="74DEBB8B"/>
    <w:rsid w:val="74EFE397"/>
    <w:rsid w:val="75134281"/>
    <w:rsid w:val="755ABB90"/>
    <w:rsid w:val="7567AB9C"/>
    <w:rsid w:val="757F2BD9"/>
    <w:rsid w:val="757F9695"/>
    <w:rsid w:val="75ED567D"/>
    <w:rsid w:val="75FFBE1C"/>
    <w:rsid w:val="769FD087"/>
    <w:rsid w:val="76BE1A6C"/>
    <w:rsid w:val="76EEFE23"/>
    <w:rsid w:val="76F7792E"/>
    <w:rsid w:val="770F83CD"/>
    <w:rsid w:val="777D983C"/>
    <w:rsid w:val="777F7E95"/>
    <w:rsid w:val="777F8514"/>
    <w:rsid w:val="77BF985E"/>
    <w:rsid w:val="77EB0A30"/>
    <w:rsid w:val="77EFF97C"/>
    <w:rsid w:val="77FD2DD1"/>
    <w:rsid w:val="77FFD227"/>
    <w:rsid w:val="77FFE042"/>
    <w:rsid w:val="786F6BBB"/>
    <w:rsid w:val="789125A4"/>
    <w:rsid w:val="7955109C"/>
    <w:rsid w:val="79A96382"/>
    <w:rsid w:val="79C33213"/>
    <w:rsid w:val="79F72244"/>
    <w:rsid w:val="79F7D4A2"/>
    <w:rsid w:val="79FE0439"/>
    <w:rsid w:val="7AEC944A"/>
    <w:rsid w:val="7B1FA6F6"/>
    <w:rsid w:val="7B2AABAE"/>
    <w:rsid w:val="7B341286"/>
    <w:rsid w:val="7B4920AC"/>
    <w:rsid w:val="7B56316B"/>
    <w:rsid w:val="7B6E1E1B"/>
    <w:rsid w:val="7BBE0771"/>
    <w:rsid w:val="7BD72066"/>
    <w:rsid w:val="7BDDC4A3"/>
    <w:rsid w:val="7BF3C519"/>
    <w:rsid w:val="7BFA144B"/>
    <w:rsid w:val="7BFFA358"/>
    <w:rsid w:val="7C54566E"/>
    <w:rsid w:val="7C5F8FDA"/>
    <w:rsid w:val="7C7D4167"/>
    <w:rsid w:val="7CBDD19A"/>
    <w:rsid w:val="7CFCADF1"/>
    <w:rsid w:val="7CFF8BFD"/>
    <w:rsid w:val="7D397FB7"/>
    <w:rsid w:val="7D7377E8"/>
    <w:rsid w:val="7DBF6886"/>
    <w:rsid w:val="7DBFA8D5"/>
    <w:rsid w:val="7DDDD8B2"/>
    <w:rsid w:val="7DDE0CEE"/>
    <w:rsid w:val="7DFC5C92"/>
    <w:rsid w:val="7DFE5D73"/>
    <w:rsid w:val="7DFF7E4E"/>
    <w:rsid w:val="7DFFDAF8"/>
    <w:rsid w:val="7E7E509B"/>
    <w:rsid w:val="7EB8A718"/>
    <w:rsid w:val="7ED7E27B"/>
    <w:rsid w:val="7EDC4E86"/>
    <w:rsid w:val="7EDE09CB"/>
    <w:rsid w:val="7EE5FB72"/>
    <w:rsid w:val="7EF2A455"/>
    <w:rsid w:val="7EF7AF70"/>
    <w:rsid w:val="7EF93DD2"/>
    <w:rsid w:val="7EFF3402"/>
    <w:rsid w:val="7F2BE7C6"/>
    <w:rsid w:val="7F3AB47F"/>
    <w:rsid w:val="7F3F12B6"/>
    <w:rsid w:val="7F57D7C8"/>
    <w:rsid w:val="7F5B6313"/>
    <w:rsid w:val="7F6D60C9"/>
    <w:rsid w:val="7F7EA3C0"/>
    <w:rsid w:val="7FA5CC08"/>
    <w:rsid w:val="7FAB911C"/>
    <w:rsid w:val="7FACE480"/>
    <w:rsid w:val="7FB11C79"/>
    <w:rsid w:val="7FB56435"/>
    <w:rsid w:val="7FBD1E61"/>
    <w:rsid w:val="7FBF1A1B"/>
    <w:rsid w:val="7FCE92E5"/>
    <w:rsid w:val="7FCF1F29"/>
    <w:rsid w:val="7FD2D104"/>
    <w:rsid w:val="7FDD2C05"/>
    <w:rsid w:val="7FDD85A0"/>
    <w:rsid w:val="7FDD95D2"/>
    <w:rsid w:val="7FE993DB"/>
    <w:rsid w:val="7FEF9FD2"/>
    <w:rsid w:val="7FF3E1C0"/>
    <w:rsid w:val="7FF3F85B"/>
    <w:rsid w:val="7FF566CD"/>
    <w:rsid w:val="7FF75800"/>
    <w:rsid w:val="7FF7B62B"/>
    <w:rsid w:val="7FFAFB55"/>
    <w:rsid w:val="7FFB297B"/>
    <w:rsid w:val="7FFC5838"/>
    <w:rsid w:val="7FFD9899"/>
    <w:rsid w:val="7FFF1975"/>
    <w:rsid w:val="7FFF391B"/>
    <w:rsid w:val="7FFF633F"/>
    <w:rsid w:val="7FFF8903"/>
    <w:rsid w:val="7FFFAD8B"/>
    <w:rsid w:val="8EBF225C"/>
    <w:rsid w:val="8F5D59A4"/>
    <w:rsid w:val="8F5F6B2D"/>
    <w:rsid w:val="8FFB0B75"/>
    <w:rsid w:val="97BF2327"/>
    <w:rsid w:val="98B74015"/>
    <w:rsid w:val="9B9C1F6C"/>
    <w:rsid w:val="9BDF3334"/>
    <w:rsid w:val="9C7EF351"/>
    <w:rsid w:val="9D7B2324"/>
    <w:rsid w:val="9F8F6FA3"/>
    <w:rsid w:val="9FCE4ACA"/>
    <w:rsid w:val="9FD4B984"/>
    <w:rsid w:val="9FFB9794"/>
    <w:rsid w:val="9FFC9604"/>
    <w:rsid w:val="9FFFDB11"/>
    <w:rsid w:val="A5FE2FD1"/>
    <w:rsid w:val="A67C683F"/>
    <w:rsid w:val="A7DBCE3C"/>
    <w:rsid w:val="ABBBED28"/>
    <w:rsid w:val="AD9F8C9A"/>
    <w:rsid w:val="ADEC83D2"/>
    <w:rsid w:val="ADFF10CC"/>
    <w:rsid w:val="AECFD7CF"/>
    <w:rsid w:val="AEFF80E1"/>
    <w:rsid w:val="AF7EFD40"/>
    <w:rsid w:val="AF9EA3A9"/>
    <w:rsid w:val="AFEDA70A"/>
    <w:rsid w:val="AFFFE447"/>
    <w:rsid w:val="AFFFF3BB"/>
    <w:rsid w:val="B0F7249B"/>
    <w:rsid w:val="B2AB062D"/>
    <w:rsid w:val="B35B6153"/>
    <w:rsid w:val="B37B5FD8"/>
    <w:rsid w:val="B38ED6A9"/>
    <w:rsid w:val="B5BC6AC8"/>
    <w:rsid w:val="B5C629E9"/>
    <w:rsid w:val="B5FFC808"/>
    <w:rsid w:val="B66DE0F3"/>
    <w:rsid w:val="B71F229D"/>
    <w:rsid w:val="B78EF67C"/>
    <w:rsid w:val="B7E93359"/>
    <w:rsid w:val="B7FA287C"/>
    <w:rsid w:val="B7FC8FD4"/>
    <w:rsid w:val="B7FF31FE"/>
    <w:rsid w:val="BA774207"/>
    <w:rsid w:val="BB6F226D"/>
    <w:rsid w:val="BBF73F6B"/>
    <w:rsid w:val="BDFE9F12"/>
    <w:rsid w:val="BDFF14D8"/>
    <w:rsid w:val="BE7DF3AB"/>
    <w:rsid w:val="BEEB588E"/>
    <w:rsid w:val="BEFC921C"/>
    <w:rsid w:val="BEFF10AD"/>
    <w:rsid w:val="BF5E20FA"/>
    <w:rsid w:val="BF7D4196"/>
    <w:rsid w:val="BF7F1BD2"/>
    <w:rsid w:val="BFA33CA7"/>
    <w:rsid w:val="BFB5558A"/>
    <w:rsid w:val="BFBDDB71"/>
    <w:rsid w:val="BFEFF3F7"/>
    <w:rsid w:val="BFFDAF01"/>
    <w:rsid w:val="BFFF50BF"/>
    <w:rsid w:val="BFFF8EE6"/>
    <w:rsid w:val="BFFFACE1"/>
    <w:rsid w:val="BFFFCC8A"/>
    <w:rsid w:val="BFFFE75D"/>
    <w:rsid w:val="C7BBC6D6"/>
    <w:rsid w:val="C89ED9A7"/>
    <w:rsid w:val="CB26FCAB"/>
    <w:rsid w:val="CBF60B7A"/>
    <w:rsid w:val="CCDD36C3"/>
    <w:rsid w:val="CF7F0D62"/>
    <w:rsid w:val="D1F503FA"/>
    <w:rsid w:val="D3FF088E"/>
    <w:rsid w:val="D63FB787"/>
    <w:rsid w:val="D6BD08E7"/>
    <w:rsid w:val="D6EB119C"/>
    <w:rsid w:val="D6FDA787"/>
    <w:rsid w:val="D77A959F"/>
    <w:rsid w:val="D77F9707"/>
    <w:rsid w:val="D7B710EC"/>
    <w:rsid w:val="D97BE255"/>
    <w:rsid w:val="DACF21D7"/>
    <w:rsid w:val="DB5DBF45"/>
    <w:rsid w:val="DB7387A1"/>
    <w:rsid w:val="DBA799E2"/>
    <w:rsid w:val="DC7ABEE3"/>
    <w:rsid w:val="DC7F37B0"/>
    <w:rsid w:val="DC9E4C42"/>
    <w:rsid w:val="DD5FA653"/>
    <w:rsid w:val="DDC3496C"/>
    <w:rsid w:val="DDFB2394"/>
    <w:rsid w:val="DDFFCA22"/>
    <w:rsid w:val="DE77926B"/>
    <w:rsid w:val="DE7DE59B"/>
    <w:rsid w:val="DEE262E6"/>
    <w:rsid w:val="DEEFF9CF"/>
    <w:rsid w:val="DF3F2014"/>
    <w:rsid w:val="DF5C7507"/>
    <w:rsid w:val="DF9FAA1C"/>
    <w:rsid w:val="DFBBD75C"/>
    <w:rsid w:val="DFD9770E"/>
    <w:rsid w:val="DFDD016C"/>
    <w:rsid w:val="DFDF029D"/>
    <w:rsid w:val="DFE61A72"/>
    <w:rsid w:val="DFF34AD3"/>
    <w:rsid w:val="DFF39B79"/>
    <w:rsid w:val="DFFB60A3"/>
    <w:rsid w:val="DFFD31B0"/>
    <w:rsid w:val="DFFF47CA"/>
    <w:rsid w:val="DFFFAE61"/>
    <w:rsid w:val="E2DB5A87"/>
    <w:rsid w:val="E5FC02D1"/>
    <w:rsid w:val="E6BB69F9"/>
    <w:rsid w:val="E6EF37CC"/>
    <w:rsid w:val="E72F10DC"/>
    <w:rsid w:val="E778A862"/>
    <w:rsid w:val="E7DF50C1"/>
    <w:rsid w:val="E87B70A2"/>
    <w:rsid w:val="E8D76BCE"/>
    <w:rsid w:val="E97F65EC"/>
    <w:rsid w:val="EADC83D7"/>
    <w:rsid w:val="EAF7F1D0"/>
    <w:rsid w:val="EBDECC2E"/>
    <w:rsid w:val="ECEAAF28"/>
    <w:rsid w:val="EDBFD3AA"/>
    <w:rsid w:val="EDEF4004"/>
    <w:rsid w:val="EDFD232B"/>
    <w:rsid w:val="EDFE5F27"/>
    <w:rsid w:val="EDFFCF00"/>
    <w:rsid w:val="EE8AFE1C"/>
    <w:rsid w:val="EEFA5F6E"/>
    <w:rsid w:val="EF3FE0F5"/>
    <w:rsid w:val="EF5DC768"/>
    <w:rsid w:val="EFABB031"/>
    <w:rsid w:val="EFADAA4C"/>
    <w:rsid w:val="EFD55489"/>
    <w:rsid w:val="EFE31411"/>
    <w:rsid w:val="EFEF0094"/>
    <w:rsid w:val="F1F395D8"/>
    <w:rsid w:val="F1FF3360"/>
    <w:rsid w:val="F2DEA05A"/>
    <w:rsid w:val="F2FF3A7A"/>
    <w:rsid w:val="F3794464"/>
    <w:rsid w:val="F3CF073D"/>
    <w:rsid w:val="F3FA869C"/>
    <w:rsid w:val="F4FF43E7"/>
    <w:rsid w:val="F4FF84A5"/>
    <w:rsid w:val="F57D3FA1"/>
    <w:rsid w:val="F5D77FD0"/>
    <w:rsid w:val="F5FE7683"/>
    <w:rsid w:val="F639FDF8"/>
    <w:rsid w:val="F7798D0D"/>
    <w:rsid w:val="F7BFF8A7"/>
    <w:rsid w:val="F7D76496"/>
    <w:rsid w:val="F7DB7B04"/>
    <w:rsid w:val="F7EDAF2A"/>
    <w:rsid w:val="F7EEC0BA"/>
    <w:rsid w:val="F7F597CB"/>
    <w:rsid w:val="F7F65DAA"/>
    <w:rsid w:val="F7F715EE"/>
    <w:rsid w:val="F7FF61F0"/>
    <w:rsid w:val="F7FFD1F6"/>
    <w:rsid w:val="F8D04070"/>
    <w:rsid w:val="F8E8D507"/>
    <w:rsid w:val="F93B35A3"/>
    <w:rsid w:val="F9841BE9"/>
    <w:rsid w:val="F9FA1080"/>
    <w:rsid w:val="FA3D022F"/>
    <w:rsid w:val="FA7F6236"/>
    <w:rsid w:val="FABC5063"/>
    <w:rsid w:val="FB1FB846"/>
    <w:rsid w:val="FB770C10"/>
    <w:rsid w:val="FB7FE6B8"/>
    <w:rsid w:val="FB9D71D8"/>
    <w:rsid w:val="FBA94DEF"/>
    <w:rsid w:val="FBDB2C9C"/>
    <w:rsid w:val="FBDFBDCF"/>
    <w:rsid w:val="FBF758AD"/>
    <w:rsid w:val="FBF9AB6F"/>
    <w:rsid w:val="FBFC24EB"/>
    <w:rsid w:val="FBFF6260"/>
    <w:rsid w:val="FBFFB511"/>
    <w:rsid w:val="FBFFD543"/>
    <w:rsid w:val="FC6BECB3"/>
    <w:rsid w:val="FC798D9B"/>
    <w:rsid w:val="FCFF4F1C"/>
    <w:rsid w:val="FD3D36C1"/>
    <w:rsid w:val="FD59D062"/>
    <w:rsid w:val="FD5DE01D"/>
    <w:rsid w:val="FD7579DB"/>
    <w:rsid w:val="FD7AEB45"/>
    <w:rsid w:val="FDD5052B"/>
    <w:rsid w:val="FDDAC906"/>
    <w:rsid w:val="FDDFBC8D"/>
    <w:rsid w:val="FDE92824"/>
    <w:rsid w:val="FDED4FE7"/>
    <w:rsid w:val="FDEF0B21"/>
    <w:rsid w:val="FDEFFB1A"/>
    <w:rsid w:val="FDF5B80F"/>
    <w:rsid w:val="FDFBE4BF"/>
    <w:rsid w:val="FDFD30B1"/>
    <w:rsid w:val="FDFD87BE"/>
    <w:rsid w:val="FDFF84B5"/>
    <w:rsid w:val="FDFFDA72"/>
    <w:rsid w:val="FE31A3AF"/>
    <w:rsid w:val="FE5D4482"/>
    <w:rsid w:val="FEB7EB15"/>
    <w:rsid w:val="FEDB0CBA"/>
    <w:rsid w:val="FEEFC20F"/>
    <w:rsid w:val="FEF67560"/>
    <w:rsid w:val="FEFB3EE1"/>
    <w:rsid w:val="FEFF92FD"/>
    <w:rsid w:val="FEFFF2F2"/>
    <w:rsid w:val="FF1FC617"/>
    <w:rsid w:val="FF4DFF11"/>
    <w:rsid w:val="FF4F0527"/>
    <w:rsid w:val="FF5BCBA9"/>
    <w:rsid w:val="FF5FD35F"/>
    <w:rsid w:val="FF7C733A"/>
    <w:rsid w:val="FF7F9D86"/>
    <w:rsid w:val="FF9C3594"/>
    <w:rsid w:val="FFAF580F"/>
    <w:rsid w:val="FFBB58BA"/>
    <w:rsid w:val="FFBBEB92"/>
    <w:rsid w:val="FFCEDCEE"/>
    <w:rsid w:val="FFD7A303"/>
    <w:rsid w:val="FFD7A69E"/>
    <w:rsid w:val="FFDB1E84"/>
    <w:rsid w:val="FFDD06B4"/>
    <w:rsid w:val="FFDE9A2D"/>
    <w:rsid w:val="FFE57E77"/>
    <w:rsid w:val="FFEB7DAB"/>
    <w:rsid w:val="FFEBD442"/>
    <w:rsid w:val="FFEC12BB"/>
    <w:rsid w:val="FFECA782"/>
    <w:rsid w:val="FFED928B"/>
    <w:rsid w:val="FFEF5E18"/>
    <w:rsid w:val="FFF74132"/>
    <w:rsid w:val="FFF99E5D"/>
    <w:rsid w:val="FFFA308C"/>
    <w:rsid w:val="FFFB2AC2"/>
    <w:rsid w:val="FFFBEB14"/>
    <w:rsid w:val="FFFDC175"/>
    <w:rsid w:val="FFFE6FA3"/>
    <w:rsid w:val="FFFEB776"/>
    <w:rsid w:val="FFFF08E6"/>
    <w:rsid w:val="FFFF3D51"/>
    <w:rsid w:val="FFFF533E"/>
    <w:rsid w:val="FFFFC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120" w:afterLines="0"/>
      <w:ind w:left="420" w:leftChars="200" w:firstLine="420"/>
    </w:pPr>
  </w:style>
  <w:style w:type="paragraph" w:styleId="3">
    <w:name w:val="Body Text Indent"/>
    <w:basedOn w:val="1"/>
    <w:qFormat/>
    <w:uiPriority w:val="0"/>
    <w:pPr>
      <w:ind w:firstLine="630"/>
    </w:pPr>
    <w:rPr>
      <w:szCs w:val="20"/>
    </w:rPr>
  </w:style>
  <w:style w:type="paragraph" w:styleId="4">
    <w:name w:val="Plain Text"/>
    <w:basedOn w:val="1"/>
    <w:link w:val="16"/>
    <w:qFormat/>
    <w:uiPriority w:val="0"/>
    <w:rPr>
      <w:rFonts w:ascii="宋体" w:hAnsi="Courier New" w:eastAsia="宋体" w:cs="Courier New"/>
      <w:sz w:val="21"/>
      <w:szCs w:val="21"/>
    </w:rPr>
  </w:style>
  <w:style w:type="paragraph" w:styleId="5">
    <w:name w:val="Date"/>
    <w:basedOn w:val="1"/>
    <w:next w:val="1"/>
    <w:link w:val="18"/>
    <w:semiHidden/>
    <w:unhideWhenUsed/>
    <w:qFormat/>
    <w:uiPriority w:val="99"/>
    <w:pPr>
      <w:ind w:left="100" w:leftChars="2500"/>
    </w:pPr>
  </w:style>
  <w:style w:type="paragraph" w:styleId="6">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spacing w:line="560" w:lineRule="exact"/>
    </w:pPr>
    <w:rPr>
      <w:rFonts w:eastAsia="宋体"/>
      <w:sz w:val="24"/>
    </w:rPr>
  </w:style>
  <w:style w:type="paragraph" w:styleId="10">
    <w:name w:val="Title"/>
    <w:basedOn w:val="1"/>
    <w:next w:val="1"/>
    <w:qFormat/>
    <w:uiPriority w:val="10"/>
    <w:pPr>
      <w:jc w:val="center"/>
      <w:outlineLvl w:val="0"/>
    </w:pPr>
    <w:rPr>
      <w:rFonts w:ascii="Arial" w:hAnsi="Arial"/>
      <w:b/>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4">
    <w:name w:val="页眉 Char"/>
    <w:basedOn w:val="13"/>
    <w:link w:val="7"/>
    <w:semiHidden/>
    <w:qFormat/>
    <w:uiPriority w:val="99"/>
    <w:rPr>
      <w:sz w:val="18"/>
      <w:szCs w:val="18"/>
    </w:rPr>
  </w:style>
  <w:style w:type="character" w:customStyle="1" w:styleId="15">
    <w:name w:val="页脚 Char"/>
    <w:basedOn w:val="13"/>
    <w:link w:val="6"/>
    <w:qFormat/>
    <w:uiPriority w:val="99"/>
    <w:rPr>
      <w:sz w:val="18"/>
      <w:szCs w:val="18"/>
    </w:rPr>
  </w:style>
  <w:style w:type="character" w:customStyle="1" w:styleId="16">
    <w:name w:val="纯文本 Char"/>
    <w:basedOn w:val="13"/>
    <w:link w:val="4"/>
    <w:qFormat/>
    <w:uiPriority w:val="0"/>
    <w:rPr>
      <w:rFonts w:ascii="宋体" w:hAnsi="Courier New" w:eastAsia="宋体" w:cs="Courier New"/>
      <w:szCs w:val="21"/>
    </w:rPr>
  </w:style>
  <w:style w:type="paragraph" w:styleId="17">
    <w:name w:val="List Paragraph"/>
    <w:basedOn w:val="1"/>
    <w:qFormat/>
    <w:uiPriority w:val="34"/>
    <w:pPr>
      <w:ind w:firstLine="420" w:firstLineChars="200"/>
    </w:pPr>
  </w:style>
  <w:style w:type="character" w:customStyle="1" w:styleId="18">
    <w:name w:val="日期 Char"/>
    <w:basedOn w:val="13"/>
    <w:link w:val="5"/>
    <w:semiHidden/>
    <w:qFormat/>
    <w:uiPriority w:val="99"/>
    <w:rPr>
      <w:rFonts w:ascii="Times New Roman" w:hAnsi="Times New Roman" w:eastAsia="仿宋_GB2312" w:cs="Times New Roman"/>
      <w:sz w:val="30"/>
      <w:szCs w:val="24"/>
    </w:rPr>
  </w:style>
  <w:style w:type="character" w:customStyle="1" w:styleId="19">
    <w:name w:val="NormalCharacter"/>
    <w:qFormat/>
    <w:uiPriority w:val="0"/>
    <w:rPr>
      <w:rFonts w:ascii="Calibri" w:hAnsi="Calibri" w:eastAsia="宋体" w:cs="Times New Roman"/>
      <w:kern w:val="2"/>
      <w:sz w:val="21"/>
      <w:szCs w:val="24"/>
      <w:lang w:val="en-US" w:eastAsia="zh-CN" w:bidi="ar-SA"/>
    </w:rPr>
  </w:style>
  <w:style w:type="character" w:customStyle="1" w:styleId="20">
    <w:name w:val="font01"/>
    <w:basedOn w:val="13"/>
    <w:qFormat/>
    <w:uiPriority w:val="0"/>
    <w:rPr>
      <w:rFonts w:hint="eastAsia" w:ascii="宋体" w:hAnsi="宋体" w:eastAsia="宋体" w:cs="宋体"/>
      <w:color w:val="000000"/>
      <w:sz w:val="20"/>
      <w:szCs w:val="20"/>
      <w:u w:val="none"/>
    </w:rPr>
  </w:style>
  <w:style w:type="character" w:customStyle="1" w:styleId="21">
    <w:name w:val="font31"/>
    <w:basedOn w:val="13"/>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9</Pages>
  <Words>3962</Words>
  <Characters>4758</Characters>
  <Lines>38</Lines>
  <Paragraphs>10</Paragraphs>
  <TotalTime>0</TotalTime>
  <ScaleCrop>false</ScaleCrop>
  <LinksUpToDate>false</LinksUpToDate>
  <CharactersWithSpaces>4864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2021-12-01T02:40:00Z</dcterms:created>
  <dc:creator>牟伶俐</dc:creator>
  <cp:lastModifiedBy>牟伶俐</cp:lastModifiedBy>
  <cp:lastPrinted>2026-08-15T00:45:00Z</cp:lastPrinted>
  <dcterms:modified xsi:type="dcterms:W3CDTF">2026-08-18T14:51:03Z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47BB76FA37244270AEEE1B5355229B5D</vt:lpwstr>
  </property>
  <property fmtid="{D5CDD505-2E9C-101B-9397-08002B2CF9AE}" pid="4" name="KSOTemplateDocerSaveRecord">
    <vt:lpwstr>eyJoZGlkIjoiMzYzODM0YWNiMDM0YjQ5MmI5ZmRjZTI1YTExY2MxNWUiLCJ1c2VySWQiOiI1MzkyNTE0OTEifQ==</vt:lpwstr>
  </property>
</Properties>
</file>