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Cs/>
          <w:color w:val="auto"/>
          <w:sz w:val="32"/>
          <w:szCs w:val="32"/>
          <w:highlight w:val="none"/>
          <w:lang w:eastAsia="zh-CN"/>
        </w:rPr>
      </w:pPr>
    </w:p>
    <w:p>
      <w:pPr>
        <w:pStyle w:val="2"/>
        <w:rPr>
          <w:rFonts w:hint="eastAsia" w:ascii="Times New Roman" w:hAnsi="Times New Roman" w:eastAsia="黑体" w:cs="黑体"/>
          <w:bCs/>
          <w:color w:val="auto"/>
          <w:sz w:val="32"/>
          <w:szCs w:val="32"/>
          <w:highlight w:val="none"/>
          <w:lang w:eastAsia="zh-CN"/>
        </w:rPr>
      </w:pPr>
    </w:p>
    <w:p>
      <w:pPr>
        <w:rPr>
          <w:rFonts w:hint="eastAsia" w:ascii="Times New Roman" w:hAnsi="Times New Roman"/>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Cs/>
          <w:color w:val="auto"/>
          <w:sz w:val="32"/>
          <w:szCs w:val="32"/>
          <w:highlight w:val="none"/>
          <w:lang w:eastAsia="zh-CN"/>
        </w:rPr>
      </w:pPr>
    </w:p>
    <w:p>
      <w:pPr>
        <w:keepNext w:val="0"/>
        <w:keepLines w:val="0"/>
        <w:pageBreakBefore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方正小标宋_GBK" w:cs="方正小标宋_GBK"/>
          <w:bCs/>
          <w:sz w:val="44"/>
          <w:szCs w:val="44"/>
          <w:highlight w:val="none"/>
          <w:u w:val="none"/>
          <w:lang w:val="en-US" w:eastAsia="zh-CN"/>
        </w:rPr>
      </w:pPr>
      <w:r>
        <w:rPr>
          <w:rFonts w:hint="eastAsia" w:ascii="Times New Roman" w:hAnsi="Times New Roman" w:eastAsia="方正小标宋_GBK" w:cs="方正小标宋_GBK"/>
          <w:bCs/>
          <w:sz w:val="44"/>
          <w:szCs w:val="44"/>
          <w:highlight w:val="none"/>
          <w:u w:val="none"/>
          <w:lang w:val="en-US" w:eastAsia="zh-CN"/>
        </w:rPr>
        <w:t>四川省道路交通事故社会救助基金运行</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outlineLvl w:val="9"/>
        <w:rPr>
          <w:rFonts w:hint="eastAsia" w:ascii="Times New Roman" w:hAnsi="Times New Roman" w:eastAsia="黑体" w:cs="黑体"/>
          <w:bCs/>
          <w:color w:val="auto"/>
          <w:sz w:val="32"/>
          <w:szCs w:val="32"/>
          <w:highlight w:val="none"/>
          <w:lang w:eastAsia="zh-CN"/>
        </w:rPr>
      </w:pPr>
      <w:r>
        <w:rPr>
          <w:rFonts w:hint="eastAsia" w:ascii="Times New Roman" w:hAnsi="Times New Roman" w:eastAsia="方正小标宋_GBK" w:cs="方正小标宋_GBK"/>
          <w:bCs/>
          <w:sz w:val="44"/>
          <w:szCs w:val="44"/>
          <w:highlight w:val="none"/>
          <w:u w:val="none"/>
          <w:lang w:val="en-US" w:eastAsia="zh-CN"/>
        </w:rPr>
        <w:t>管理项目的采购需求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Cs/>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Cs/>
          <w:color w:val="auto"/>
          <w:sz w:val="32"/>
          <w:szCs w:val="32"/>
          <w:highlight w:val="none"/>
          <w:lang w:eastAsia="zh-CN"/>
        </w:rPr>
      </w:pPr>
      <w:r>
        <w:rPr>
          <w:rFonts w:hint="eastAsia" w:ascii="Times New Roman" w:hAnsi="Times New Roman" w:eastAsia="黑体" w:cs="黑体"/>
          <w:bCs/>
          <w:color w:val="auto"/>
          <w:sz w:val="32"/>
          <w:szCs w:val="32"/>
          <w:highlight w:val="none"/>
          <w:lang w:eastAsia="zh-CN"/>
        </w:rPr>
        <w:t>一、项目概述</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根据《</w:t>
      </w:r>
      <w:r>
        <w:rPr>
          <w:rFonts w:hint="eastAsia" w:ascii="Times New Roman" w:hAnsi="Times New Roman" w:eastAsia="仿宋_GB2312" w:cs="仿宋_GB2312"/>
          <w:bCs/>
          <w:color w:val="auto"/>
          <w:sz w:val="32"/>
          <w:szCs w:val="32"/>
          <w:highlight w:val="none"/>
          <w:lang w:eastAsia="zh-CN"/>
        </w:rPr>
        <w:t>关于印发</w:t>
      </w:r>
      <w:r>
        <w:rPr>
          <w:rFonts w:hint="eastAsia" w:ascii="Times New Roman" w:hAnsi="Times New Roman" w:eastAsia="仿宋_GB2312" w:cs="仿宋_GB2312"/>
          <w:bCs/>
          <w:color w:val="auto"/>
          <w:sz w:val="32"/>
          <w:szCs w:val="32"/>
          <w:highlight w:val="none"/>
          <w:lang w:val="en-US" w:eastAsia="zh-CN"/>
        </w:rPr>
        <w:t>&lt;</w:t>
      </w:r>
      <w:r>
        <w:rPr>
          <w:rFonts w:hint="eastAsia" w:ascii="Times New Roman" w:hAnsi="Times New Roman" w:eastAsia="仿宋_GB2312" w:cs="仿宋_GB2312"/>
          <w:bCs/>
          <w:color w:val="auto"/>
          <w:sz w:val="32"/>
          <w:szCs w:val="32"/>
          <w:highlight w:val="none"/>
        </w:rPr>
        <w:t>四川省道路交通事故社会救助基金管理办法</w:t>
      </w:r>
      <w:r>
        <w:rPr>
          <w:rFonts w:hint="eastAsia" w:ascii="Times New Roman" w:hAnsi="Times New Roman" w:eastAsia="仿宋_GB2312" w:cs="仿宋_GB2312"/>
          <w:bCs/>
          <w:color w:val="auto"/>
          <w:sz w:val="32"/>
          <w:szCs w:val="32"/>
          <w:highlight w:val="none"/>
          <w:lang w:val="en-US" w:eastAsia="zh-CN"/>
        </w:rPr>
        <w:t>&gt;的通知</w:t>
      </w:r>
      <w:r>
        <w:rPr>
          <w:rFonts w:hint="eastAsia" w:ascii="Times New Roman" w:hAnsi="Times New Roman" w:eastAsia="仿宋_GB2312" w:cs="仿宋_GB2312"/>
          <w:bCs/>
          <w:color w:val="auto"/>
          <w:sz w:val="32"/>
          <w:szCs w:val="32"/>
          <w:highlight w:val="none"/>
        </w:rPr>
        <w:t>》（川财规〔2022〕14号），为提高救助基金管理的专业化水平和效率，拟通过政府采购的方式，依法聘请具有合法资质的专业机构作为全省救助基金管理机构，具体承办全省救助基金运行管理工作。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Cs/>
          <w:color w:val="auto"/>
          <w:sz w:val="32"/>
          <w:szCs w:val="32"/>
          <w:highlight w:val="none"/>
          <w:lang w:val="en-US" w:eastAsia="zh-CN"/>
        </w:rPr>
      </w:pPr>
      <w:r>
        <w:rPr>
          <w:rFonts w:hint="eastAsia" w:ascii="Times New Roman" w:hAnsi="Times New Roman" w:eastAsia="黑体" w:cs="黑体"/>
          <w:bCs/>
          <w:color w:val="auto"/>
          <w:sz w:val="32"/>
          <w:szCs w:val="32"/>
          <w:highlight w:val="none"/>
          <w:lang w:val="en-US" w:eastAsia="zh-CN"/>
        </w:rPr>
        <w:t>二、采购需求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（一）接收救助基金资金；</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（二）制作、发放宣传材料，积极宣传救助基金申请使用和管理有关政策；</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（三）受理、审核垫付申请，并及时垫付；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（四）追偿垫付款，向人民法院、公安机关等单位通报拒不履行偿还义务的机动车道路交通事故责任人信息，并依规参与垫付、追偿相关的诉讼；</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（五）如实报告救助基金业务事项；</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（六）管理救助基金的其他职责。</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黑体" w:cs="黑体"/>
          <w:b w:val="0"/>
          <w:bCs/>
          <w:color w:val="auto"/>
          <w:sz w:val="32"/>
          <w:szCs w:val="32"/>
          <w:highlight w:val="none"/>
          <w:lang w:val="en-US" w:eastAsia="zh-CN"/>
        </w:rPr>
      </w:pPr>
      <w:r>
        <w:rPr>
          <w:rFonts w:hint="eastAsia" w:ascii="Times New Roman" w:hAnsi="Times New Roman" w:eastAsia="黑体" w:cs="黑体"/>
          <w:b w:val="0"/>
          <w:bCs/>
          <w:color w:val="auto"/>
          <w:sz w:val="32"/>
          <w:szCs w:val="32"/>
          <w:highlight w:val="none"/>
          <w:lang w:val="en-US" w:eastAsia="zh-CN"/>
        </w:rPr>
        <w:t>三</w:t>
      </w:r>
      <w:r>
        <w:rPr>
          <w:rFonts w:hint="eastAsia" w:ascii="Times New Roman" w:hAnsi="Times New Roman" w:eastAsia="黑体" w:cs="黑体"/>
          <w:b w:val="0"/>
          <w:bCs/>
          <w:color w:val="auto"/>
          <w:sz w:val="32"/>
          <w:szCs w:val="32"/>
          <w:highlight w:val="none"/>
        </w:rPr>
        <w:t>、</w:t>
      </w:r>
      <w:r>
        <w:rPr>
          <w:rFonts w:hint="eastAsia" w:ascii="Times New Roman" w:hAnsi="Times New Roman" w:eastAsia="黑体" w:cs="黑体"/>
          <w:b w:val="0"/>
          <w:bCs/>
          <w:color w:val="auto"/>
          <w:sz w:val="32"/>
          <w:szCs w:val="32"/>
          <w:highlight w:val="none"/>
          <w:lang w:val="en-US" w:eastAsia="zh-CN"/>
        </w:rPr>
        <w:t>服务要求</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供应商应完全具备承办四川省道路交通事故社会救助基金（以下简称救助基金）管理业务所需的完善的服务能力和条件，能与有关单位建立有效的协调联动机制，并按照救助基金有关政策规定、合同约定，全面、合规、优质、高效地完成救助基金委托业务，做到服务全流程规范化、精细化管理，保障救助基金安全高效和可持续运行。供应商应确保全省救助基金管理工作无缝对接、平稳接续开展。具体要求包括但不限于以下方面：</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Times New Roman" w:hAnsi="Times New Roman" w:eastAsia="楷体_GB2312" w:cs="楷体_GB2312"/>
          <w:b/>
          <w:bCs w:val="0"/>
          <w:color w:val="auto"/>
          <w:sz w:val="32"/>
          <w:szCs w:val="32"/>
          <w:highlight w:val="none"/>
          <w:lang w:val="en-US" w:eastAsia="zh-CN"/>
        </w:rPr>
      </w:pPr>
      <w:r>
        <w:rPr>
          <w:rFonts w:hint="eastAsia" w:ascii="Times New Roman" w:hAnsi="Times New Roman" w:eastAsia="楷体_GB2312" w:cs="楷体_GB2312"/>
          <w:b/>
          <w:bCs w:val="0"/>
          <w:color w:val="auto"/>
          <w:sz w:val="32"/>
          <w:szCs w:val="32"/>
          <w:highlight w:val="none"/>
          <w:lang w:val="en-US" w:eastAsia="zh-CN"/>
        </w:rPr>
        <w:t>（一）具有开展相关业务的基础</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1.具有完备的救助服务网络。供应商应在成都市设置救助基金管理中心（部门），负责对全省救助基金垫付申请的集中审核、垫付、追偿和对全省承办业务的协调、指导与管理。供应商现有分支机构需至少覆盖全省183个县（市、区）的20%，自协议生效之日起1个月内，设置服务站、点的县（市、区）个数应占到全省183个县（市、区）的50%以上，服务站、点所需办公设备由供应商自行配备，应能满足工作需要。服务站、点应当统一标识，工作人员服务标准规范。供应商应设立24小时服务电话。</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具备建立信息化管理系统的条件。供应商应自协议生效之日起3个月内，建立满足安全要求且符合我省救助基金筹集、使用和管理要求的信息系统，建立数据信息交互共享机制，实现救助基金网上申请、垫付、追偿及核销全流程管理，并加强数据统计和分析应用，提高救助基金使用和管理效率。在该系统建成并有效应用前，供应商需具有完整的线下流程，处理救助基金管理事项，系统建立后应将已处理案件信息及时、完整、准确上传系统。</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供应商根据采购人需要，适时对管理信息系统进行维护、升级、调整等；应当妥善管理信息系统及形成的数据资料，确保救助基金数据安全、完整，数据所有权归属采购人。合同结束或者终止30日内，供应商应当将信息系统及其源代码，管理过程中形成的数据资料一并无偿移交采购人。</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具有专业技术人员支撑。服务网点应配备熟悉道路交通事故处理、救助基金管理政策、了解调解和诉讼基本知识、具备较好协调沟通能力的人员队伍，满足工作需要。救助基金管理中心应当配备相应数量的专业人员团队，专业人员包括且不限于：具有医学专业背景人员;追偿律师服务团队;财务人员;信息技术人员;熟悉交通法规、交通事故处理等方面专业知识的人员;熟悉多媒体融合宣传知识和宣传技巧的专业宣传工作人员等。应保持人员队伍相对稳定，做到人员离职、休假等情况下应由熟悉并胜任该工作的人员及时替位（补），确保工作不受影响。</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Times New Roman" w:hAnsi="Times New Roman" w:eastAsia="楷体_GB2312" w:cs="楷体_GB2312"/>
          <w:b/>
          <w:bCs w:val="0"/>
          <w:color w:val="auto"/>
          <w:sz w:val="32"/>
          <w:szCs w:val="32"/>
          <w:highlight w:val="none"/>
          <w:lang w:val="en-US" w:eastAsia="zh-CN"/>
        </w:rPr>
      </w:pPr>
      <w:r>
        <w:rPr>
          <w:rFonts w:hint="eastAsia" w:ascii="Times New Roman" w:hAnsi="Times New Roman" w:eastAsia="楷体_GB2312" w:cs="楷体_GB2312"/>
          <w:b/>
          <w:bCs w:val="0"/>
          <w:color w:val="auto"/>
          <w:sz w:val="32"/>
          <w:szCs w:val="32"/>
          <w:highlight w:val="none"/>
          <w:lang w:val="en-US" w:eastAsia="zh-CN"/>
        </w:rPr>
        <w:t>（二）具有推动救助基金高效运转的能力</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1.具有相关业务管理经验。供应商或其所属机构应具有救助基金运行管理类似项目经验，具备独立运行管理基金的能力。供应商与全省医疗机构具有良好的合作基础，与交管部门建立有良好的沟通机制，必要时能开通医疗服务“绿色通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2.能高效规范进行垫付。供应商收到抢救及丧葬费用垫付通知或垫付申请以及相关材料后，应当在3个工作日内按照</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eastAsia="zh-CN"/>
        </w:rPr>
        <w:t>关于印发</w:t>
      </w:r>
      <w:r>
        <w:rPr>
          <w:rFonts w:hint="eastAsia" w:ascii="Times New Roman" w:hAnsi="Times New Roman" w:eastAsia="仿宋_GB2312" w:cs="仿宋_GB2312"/>
          <w:bCs/>
          <w:color w:val="auto"/>
          <w:sz w:val="32"/>
          <w:szCs w:val="32"/>
          <w:highlight w:val="none"/>
          <w:lang w:val="en-US" w:eastAsia="zh-CN"/>
        </w:rPr>
        <w:t>&lt;</w:t>
      </w:r>
      <w:r>
        <w:rPr>
          <w:rFonts w:hint="eastAsia" w:ascii="Times New Roman" w:hAnsi="Times New Roman" w:eastAsia="仿宋_GB2312" w:cs="仿宋_GB2312"/>
          <w:bCs/>
          <w:color w:val="auto"/>
          <w:sz w:val="32"/>
          <w:szCs w:val="32"/>
          <w:highlight w:val="none"/>
        </w:rPr>
        <w:t>四川省道路交通事故社会救助基金管理办法</w:t>
      </w:r>
      <w:r>
        <w:rPr>
          <w:rFonts w:hint="eastAsia" w:ascii="Times New Roman" w:hAnsi="Times New Roman" w:eastAsia="仿宋_GB2312" w:cs="仿宋_GB2312"/>
          <w:bCs/>
          <w:color w:val="auto"/>
          <w:sz w:val="32"/>
          <w:szCs w:val="32"/>
          <w:highlight w:val="none"/>
          <w:lang w:val="en-US" w:eastAsia="zh-CN"/>
        </w:rPr>
        <w:t>&gt;的通知</w:t>
      </w:r>
      <w:r>
        <w:rPr>
          <w:rFonts w:hint="eastAsia" w:ascii="Times New Roman" w:hAnsi="Times New Roman" w:eastAsia="仿宋_GB2312" w:cs="仿宋_GB2312"/>
          <w:bCs/>
          <w:color w:val="auto"/>
          <w:sz w:val="32"/>
          <w:szCs w:val="32"/>
          <w:highlight w:val="none"/>
        </w:rPr>
        <w:t>》</w:t>
      </w:r>
      <w:r>
        <w:rPr>
          <w:rFonts w:hint="eastAsia" w:ascii="Times New Roman" w:hAnsi="Times New Roman" w:eastAsia="仿宋_GB2312" w:cs="仿宋_GB2312"/>
          <w:bCs/>
          <w:color w:val="auto"/>
          <w:sz w:val="32"/>
          <w:szCs w:val="32"/>
          <w:highlight w:val="none"/>
          <w:lang w:val="en-US" w:eastAsia="zh-CN"/>
        </w:rPr>
        <w:t>（川财规〔2022〕14号）有关规定、道路交通事故受伤人员临床诊疗相关指南和规范，以及规定的收费标准，完成审核工作；对符合抢救费用垫付要求的，供应商应当在2个工作日内将相关费用结算划入医疗机构账户；对符合丧葬费用垫付要求的申请，供应商应当在3个工作日内按照有关标准完成垫付。</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能及时有效开展追偿。供应商应遵循“应追尽追”的原则，在完成垫付后及时启动追偿程序,采取切实有效的追偿措施和手段，按规定完成追偿工作,垫付费用年度追偿率应达到一定比例（原则上首年度不低于30%（含），后续年度动态调整，具体以合同为准）；对供应商接手基金管理工作之前的历史垫付案件，未追偿的垫付费用由供应商负责继续追偿。</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Times New Roman" w:hAnsi="Times New Roman" w:eastAsia="楷体_GB2312" w:cs="楷体_GB2312"/>
          <w:b/>
          <w:bCs w:val="0"/>
          <w:color w:val="auto"/>
          <w:sz w:val="32"/>
          <w:szCs w:val="32"/>
          <w:highlight w:val="none"/>
          <w:lang w:val="en-US" w:eastAsia="zh-CN"/>
        </w:rPr>
      </w:pPr>
      <w:r>
        <w:rPr>
          <w:rFonts w:hint="eastAsia" w:ascii="Times New Roman" w:hAnsi="Times New Roman" w:eastAsia="楷体_GB2312" w:cs="楷体_GB2312"/>
          <w:b/>
          <w:bCs w:val="0"/>
          <w:color w:val="auto"/>
          <w:sz w:val="32"/>
          <w:szCs w:val="32"/>
          <w:highlight w:val="none"/>
          <w:lang w:val="en-US" w:eastAsia="zh-CN"/>
        </w:rPr>
        <w:t>（三）具有</w:t>
      </w:r>
      <w:bookmarkStart w:id="0" w:name="_GoBack"/>
      <w:bookmarkEnd w:id="0"/>
      <w:r>
        <w:rPr>
          <w:rFonts w:hint="eastAsia" w:ascii="Times New Roman" w:hAnsi="Times New Roman" w:eastAsia="楷体_GB2312" w:cs="楷体_GB2312"/>
          <w:b/>
          <w:bCs w:val="0"/>
          <w:color w:val="auto"/>
          <w:sz w:val="32"/>
          <w:szCs w:val="32"/>
          <w:highlight w:val="none"/>
          <w:lang w:val="en-US" w:eastAsia="zh-CN"/>
        </w:rPr>
        <w:t>履约执行保障措施</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1.制度建设完备。供应商应加强内部管理，建立健全科学合理的管理操作规范及相应制度，涵盖救助基金申请受理、审核、垫付、追偿、工作和财务报告、信息公开、档案移交等各环节，自协议签订后30日内完成相关制度建设，并向采购人报备。</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财务管理规范。供应商应按规定设立救助基金专用账户，用于救助基金备用金接收、救助基金垫付、追偿资金暂管等，并按要求做好财务核算,确保专款专用。供应商应按规定做好工作报告和财务会计报告、应当自觉主动接受采购人及有关部门的监督检查及考核评价；应当自觉接受采购人委托的第三方审计，并在审计报告出具后3个工作日内向社会公告审计情况；应当做好合同结束或终止后的第三方审计及资金清算上缴等相关工作。</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宣传工作到位。供应商应当按照《关于印发&lt;四川省道路交通事故社会救助基金管理办法&gt;的通知》（川财规〔2022〕14号）要求，做好向社会公开信息工作。应注重救助基金政策的社会效应，制定相应宣传工作方案，加强社会宣传，创新宣传手段，拓展宣传渠道，做好舆情管控，不断提升救助基金的社会知晓度和社会影响力，持续提升救助基金社会形象。</w:t>
      </w:r>
    </w:p>
    <w:p>
      <w:pPr>
        <w:keepNext w:val="0"/>
        <w:keepLines w:val="0"/>
        <w:pageBreakBefore w:val="0"/>
        <w:widowControl w:val="0"/>
        <w:kinsoku/>
        <w:wordWrap/>
        <w:overflowPunct/>
        <w:topLinePunct w:val="0"/>
        <w:autoSpaceDE/>
        <w:autoSpaceDN/>
        <w:bidi w:val="0"/>
        <w:adjustRightInd/>
        <w:snapToGrid/>
        <w:spacing w:line="620" w:lineRule="exact"/>
        <w:ind w:firstLine="642" w:firstLineChars="200"/>
        <w:textAlignment w:val="auto"/>
        <w:outlineLvl w:val="9"/>
        <w:rPr>
          <w:rFonts w:hint="eastAsia" w:ascii="Times New Roman" w:hAnsi="Times New Roman" w:eastAsia="楷体_GB2312" w:cs="楷体_GB2312"/>
          <w:b/>
          <w:bCs w:val="0"/>
          <w:color w:val="auto"/>
          <w:sz w:val="32"/>
          <w:szCs w:val="32"/>
          <w:highlight w:val="none"/>
          <w:lang w:val="en-US" w:eastAsia="zh-CN"/>
        </w:rPr>
      </w:pPr>
      <w:r>
        <w:rPr>
          <w:rFonts w:hint="eastAsia" w:ascii="Times New Roman" w:hAnsi="Times New Roman" w:eastAsia="楷体_GB2312" w:cs="楷体_GB2312"/>
          <w:b/>
          <w:bCs w:val="0"/>
          <w:color w:val="auto"/>
          <w:sz w:val="32"/>
          <w:szCs w:val="32"/>
          <w:highlight w:val="none"/>
          <w:lang w:val="en-US" w:eastAsia="zh-CN"/>
        </w:rPr>
        <w:t>（四）售后服务要求（提供承诺函并加盖公章）</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 xml:space="preserve">1.供应商安排 1名固定人员与采购人进行联系，并保证通讯7*24小时通畅。 </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2.如突发事件或紧急状况，接到采购人通知后，供应商应于30分钟内响应，2小时内抵达现场或了解情况后向采购人进行报告，12小时内出具解决方案。</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outlineLvl w:val="9"/>
        <w:rPr>
          <w:rFonts w:hint="eastAsia" w:ascii="Times New Roman" w:hAnsi="Times New Roman" w:eastAsia="仿宋_GB2312" w:cs="仿宋_GB2312"/>
          <w:bCs/>
          <w:color w:val="auto"/>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3.供应商应无条件配合采购人与本项目服务内容相关的工作。</w:t>
      </w:r>
    </w:p>
    <w:p>
      <w:pPr>
        <w:pStyle w:val="4"/>
        <w:keepNext w:val="0"/>
        <w:keepLines w:val="0"/>
        <w:pageBreakBefore w:val="0"/>
        <w:kinsoku/>
        <w:wordWrap/>
        <w:overflowPunct/>
        <w:topLinePunct w:val="0"/>
        <w:autoSpaceDE/>
        <w:autoSpaceDN/>
        <w:bidi w:val="0"/>
        <w:adjustRightInd/>
        <w:snapToGrid/>
        <w:spacing w:line="620" w:lineRule="exact"/>
        <w:textAlignment w:val="auto"/>
        <w:outlineLvl w:val="9"/>
        <w:rPr>
          <w:rFonts w:hint="eastAsia" w:ascii="Times New Roman" w:hAnsi="Times New Roman" w:eastAsia="仿宋_GB2312" w:cs="仿宋_GB2312"/>
          <w:bCs/>
          <w:sz w:val="32"/>
          <w:szCs w:val="32"/>
          <w:highlight w:val="none"/>
          <w:u w:val="none"/>
          <w:lang w:val="en-US" w:eastAsia="zh-CN"/>
        </w:rPr>
      </w:pPr>
    </w:p>
    <w:p>
      <w:pPr>
        <w:pStyle w:val="4"/>
        <w:keepNext w:val="0"/>
        <w:keepLines w:val="0"/>
        <w:pageBreakBefore w:val="0"/>
        <w:kinsoku/>
        <w:wordWrap/>
        <w:overflowPunct/>
        <w:topLinePunct w:val="0"/>
        <w:autoSpaceDE/>
        <w:autoSpaceDN/>
        <w:bidi w:val="0"/>
        <w:adjustRightInd/>
        <w:snapToGrid/>
        <w:spacing w:line="620" w:lineRule="exact"/>
        <w:textAlignment w:val="auto"/>
        <w:outlineLvl w:val="9"/>
        <w:rPr>
          <w:rFonts w:hint="eastAsia" w:ascii="Times New Roman" w:hAnsi="Times New Roman" w:eastAsia="仿宋_GB2312" w:cs="仿宋_GB2312"/>
          <w:bCs/>
          <w:sz w:val="32"/>
          <w:szCs w:val="32"/>
          <w:highlight w:val="none"/>
          <w:u w:val="none"/>
          <w:lang w:val="en-US" w:eastAsia="zh-CN"/>
        </w:rPr>
      </w:pPr>
    </w:p>
    <w:p>
      <w:pPr>
        <w:pStyle w:val="2"/>
        <w:keepNext w:val="0"/>
        <w:keepLines w:val="0"/>
        <w:pageBreakBefore w:val="0"/>
        <w:kinsoku/>
        <w:wordWrap/>
        <w:overflowPunct/>
        <w:topLinePunct w:val="0"/>
        <w:autoSpaceDE/>
        <w:autoSpaceDN/>
        <w:bidi w:val="0"/>
        <w:adjustRightInd/>
        <w:snapToGrid/>
        <w:spacing w:line="620" w:lineRule="exact"/>
        <w:textAlignment w:val="auto"/>
        <w:outlineLvl w:val="9"/>
        <w:rPr>
          <w:rFonts w:hint="eastAsia" w:ascii="Times New Roman" w:hAnsi="Times New Roman"/>
          <w:lang w:val="en-US" w:eastAsia="zh-CN"/>
        </w:rPr>
      </w:pPr>
    </w:p>
    <w:p>
      <w:pPr>
        <w:rPr>
          <w:rFonts w:ascii="Times New Roman" w:hAnsi="Times New Roman"/>
        </w:rPr>
      </w:pPr>
    </w:p>
    <w:sectPr>
      <w:footerReference r:id="rId3" w:type="default"/>
      <w:pgSz w:w="11906" w:h="16838"/>
      <w:pgMar w:top="1757" w:right="1474" w:bottom="1871"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1"/>
    <w:family w:val="swiss"/>
    <w:pitch w:val="default"/>
    <w:sig w:usb0="00000000" w:usb1="00000000" w:usb2="00000009" w:usb3="00000000" w:csb0="400001FF" w:csb1="FFFF0000"/>
  </w:font>
  <w:font w:name="黑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wps:txbx>
                    <wps:bodyPr vert="horz" wrap="none" lIns="0" tIns="0" rIns="0" bIns="0" anchor="t"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OqXm5zwAAAAUBAAAPAAAAAAAAAAEAIAAAADgAAABkcnMv&#10;ZG93bnJldi54bWxQSwECFAAUAAAACACHTuJAYxvHHL0BAABiAwAADgAAAAAAAAABACAAAAA0AQAA&#10;ZHJzL2Uyb0RvYy54bWxQSwUGAAAAAAYABgBZAQAAYwUAAAAA&#10;">
              <v:fill on="f" focussize="0,0"/>
              <v:stroke on="f"/>
              <v:imagedata o:title=""/>
              <o:lock v:ext="edit" aspectratio="f"/>
              <v:textbox inset="0mm,0mm,0mm,0mm" style="mso-fit-shape-to-text:t;">
                <w:txbxContent>
                  <w:p>
                    <w:pPr>
                      <w:pStyle w:val="3"/>
                      <w:rPr>
                        <w:rFonts w:hint="eastAsia" w:ascii="宋体" w:hAnsi="宋体" w:eastAsia="宋体" w:cs="宋体"/>
                        <w:sz w:val="32"/>
                        <w:szCs w:val="32"/>
                      </w:rPr>
                    </w:pPr>
                    <w:r>
                      <w:rPr>
                        <w:rFonts w:hint="eastAsia" w:ascii="宋体" w:hAnsi="宋体" w:eastAsia="宋体" w:cs="宋体"/>
                        <w:sz w:val="32"/>
                        <w:szCs w:val="32"/>
                      </w:rPr>
                      <w:fldChar w:fldCharType="begin"/>
                    </w:r>
                    <w:r>
                      <w:rPr>
                        <w:rFonts w:hint="eastAsia" w:ascii="宋体" w:hAnsi="宋体" w:eastAsia="宋体" w:cs="宋体"/>
                        <w:sz w:val="32"/>
                        <w:szCs w:val="32"/>
                      </w:rPr>
                      <w:instrText xml:space="preserve"> PAGE  \* MERGEFORMAT </w:instrText>
                    </w:r>
                    <w:r>
                      <w:rPr>
                        <w:rFonts w:hint="eastAsia" w:ascii="宋体" w:hAnsi="宋体" w:eastAsia="宋体" w:cs="宋体"/>
                        <w:sz w:val="32"/>
                        <w:szCs w:val="32"/>
                      </w:rPr>
                      <w:fldChar w:fldCharType="separate"/>
                    </w:r>
                    <w:r>
                      <w:rPr>
                        <w:rFonts w:hint="eastAsia" w:ascii="宋体" w:hAnsi="宋体" w:eastAsia="宋体" w:cs="宋体"/>
                        <w:sz w:val="32"/>
                        <w:szCs w:val="32"/>
                      </w:rPr>
                      <w:t>1</w:t>
                    </w:r>
                    <w:r>
                      <w:rPr>
                        <w:rFonts w:hint="eastAsia" w:ascii="宋体" w:hAnsi="宋体" w:eastAsia="宋体" w:cs="宋体"/>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0F0CDE"/>
    <w:rsid w:val="4A0F0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Office_10.1.0.7739_F1E327BC-269C-435d-A152-05C5408002CA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2026-02-03T15:33:00Z</dcterms:created>
  <dc:creator>greatwall</dc:creator>
  <cp:lastModifiedBy>greatwall</cp:lastModifiedBy>
  <dcterms:modified xsi:type="dcterms:W3CDTF">2026-02-03T15:46:26Z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2052-10.1.0.7739</vt:lpwstr>
  </property>
</Properties>
</file>