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lang w:eastAsia="zh-CN"/>
        </w:rPr>
      </w:pPr>
    </w:p>
    <w:p>
      <w:pPr>
        <w:pStyle w:val="2"/>
        <w:rPr>
          <w:rFonts w:hint="eastAsia"/>
          <w:lang w:eastAsia="zh-CN"/>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eastAsia="方正小标宋简体" w:cs="Times New Roman"/>
          <w:color w:val="auto"/>
          <w:kern w:val="0"/>
          <w:sz w:val="44"/>
          <w:szCs w:val="44"/>
          <w:lang w:eastAsia="zh-CN"/>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color w:val="auto"/>
          <w:kern w:val="0"/>
          <w:sz w:val="44"/>
          <w:szCs w:val="44"/>
          <w:lang w:eastAsia="zh-CN"/>
        </w:rPr>
      </w:pPr>
      <w:r>
        <w:rPr>
          <w:rFonts w:hint="eastAsia" w:eastAsia="方正小标宋简体" w:cs="Times New Roman"/>
          <w:color w:val="auto"/>
          <w:kern w:val="0"/>
          <w:sz w:val="44"/>
          <w:szCs w:val="44"/>
          <w:lang w:eastAsia="zh-CN"/>
        </w:rPr>
        <w:t>202</w:t>
      </w:r>
      <w:r>
        <w:rPr>
          <w:rFonts w:hint="eastAsia" w:eastAsia="方正小标宋简体" w:cs="Times New Roman"/>
          <w:color w:val="auto"/>
          <w:kern w:val="0"/>
          <w:sz w:val="44"/>
          <w:szCs w:val="44"/>
          <w:lang w:val="en-US" w:eastAsia="zh-CN"/>
        </w:rPr>
        <w:t>6</w:t>
      </w:r>
      <w:r>
        <w:rPr>
          <w:rFonts w:hint="eastAsia" w:eastAsia="方正小标宋简体" w:cs="Times New Roman"/>
          <w:color w:val="auto"/>
          <w:kern w:val="0"/>
          <w:sz w:val="44"/>
          <w:szCs w:val="44"/>
          <w:lang w:eastAsia="zh-CN"/>
        </w:rPr>
        <w:t>年</w:t>
      </w:r>
      <w:r>
        <w:rPr>
          <w:rFonts w:hint="default" w:ascii="Times New Roman" w:hAnsi="Times New Roman" w:eastAsia="方正小标宋简体" w:cs="Times New Roman"/>
          <w:color w:val="auto"/>
          <w:kern w:val="0"/>
          <w:sz w:val="44"/>
          <w:szCs w:val="44"/>
        </w:rPr>
        <w:t>四川省政府</w:t>
      </w:r>
      <w:r>
        <w:rPr>
          <w:rFonts w:hint="eastAsia" w:eastAsia="方正小标宋简体" w:cs="Times New Roman"/>
          <w:color w:val="auto"/>
          <w:kern w:val="0"/>
          <w:sz w:val="44"/>
          <w:szCs w:val="44"/>
          <w:lang w:eastAsia="zh-CN"/>
        </w:rPr>
        <w:t>再融资一般</w:t>
      </w:r>
      <w:r>
        <w:rPr>
          <w:rFonts w:hint="default" w:ascii="Times New Roman" w:hAnsi="Times New Roman" w:eastAsia="方正小标宋简体" w:cs="Times New Roman"/>
          <w:color w:val="auto"/>
          <w:kern w:val="0"/>
          <w:sz w:val="44"/>
          <w:szCs w:val="44"/>
          <w:lang w:eastAsia="zh-CN"/>
        </w:rPr>
        <w:t>债券</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color w:val="auto"/>
          <w:kern w:val="0"/>
          <w:sz w:val="44"/>
          <w:szCs w:val="44"/>
          <w:lang w:eastAsia="zh-CN"/>
        </w:rPr>
      </w:pPr>
      <w:r>
        <w:rPr>
          <w:rFonts w:hint="default" w:ascii="Times New Roman" w:hAnsi="Times New Roman" w:eastAsia="方正小标宋简体" w:cs="Times New Roman"/>
          <w:color w:val="auto"/>
          <w:kern w:val="0"/>
          <w:sz w:val="44"/>
          <w:szCs w:val="44"/>
          <w:lang w:eastAsia="zh-CN"/>
        </w:rPr>
        <w:t>（</w:t>
      </w:r>
      <w:r>
        <w:rPr>
          <w:rFonts w:hint="eastAsia" w:eastAsia="方正小标宋简体" w:cs="Times New Roman"/>
          <w:color w:val="auto"/>
          <w:kern w:val="0"/>
          <w:sz w:val="44"/>
          <w:szCs w:val="44"/>
          <w:lang w:eastAsia="zh-CN"/>
        </w:rPr>
        <w:t>六</w:t>
      </w:r>
      <w:r>
        <w:rPr>
          <w:rFonts w:hint="default" w:ascii="Times New Roman" w:hAnsi="Times New Roman" w:eastAsia="方正小标宋简体" w:cs="Times New Roman"/>
          <w:color w:val="auto"/>
          <w:kern w:val="0"/>
          <w:sz w:val="44"/>
          <w:szCs w:val="44"/>
          <w:lang w:eastAsia="zh-CN"/>
        </w:rPr>
        <w:t>期）</w:t>
      </w:r>
      <w:r>
        <w:rPr>
          <w:rFonts w:hint="eastAsia" w:eastAsia="方正小标宋简体" w:cs="Times New Roman"/>
          <w:color w:val="auto"/>
          <w:kern w:val="0"/>
          <w:sz w:val="44"/>
          <w:szCs w:val="44"/>
          <w:lang w:eastAsia="zh-CN"/>
        </w:rPr>
        <w:t>及再融资</w:t>
      </w:r>
      <w:r>
        <w:rPr>
          <w:rFonts w:hint="default" w:ascii="Times New Roman" w:hAnsi="Times New Roman" w:eastAsia="方正小标宋简体" w:cs="Times New Roman"/>
          <w:color w:val="auto"/>
          <w:kern w:val="0"/>
          <w:sz w:val="44"/>
          <w:szCs w:val="44"/>
          <w:lang w:eastAsia="zh-CN"/>
        </w:rPr>
        <w:t>专项债券</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color w:val="auto"/>
          <w:kern w:val="0"/>
          <w:sz w:val="44"/>
          <w:szCs w:val="44"/>
          <w:lang w:eastAsia="zh-CN"/>
        </w:rPr>
        <w:t>（</w:t>
      </w:r>
      <w:r>
        <w:rPr>
          <w:rFonts w:hint="eastAsia" w:eastAsia="方正小标宋简体" w:cs="Times New Roman"/>
          <w:color w:val="auto"/>
          <w:kern w:val="0"/>
          <w:sz w:val="44"/>
          <w:szCs w:val="44"/>
          <w:lang w:eastAsia="zh-CN"/>
        </w:rPr>
        <w:t>十六</w:t>
      </w:r>
      <w:r>
        <w:rPr>
          <w:rFonts w:hint="default" w:ascii="Times New Roman" w:hAnsi="Times New Roman" w:eastAsia="方正小标宋简体" w:cs="Times New Roman"/>
          <w:color w:val="auto"/>
          <w:kern w:val="0"/>
          <w:sz w:val="44"/>
          <w:szCs w:val="44"/>
          <w:lang w:eastAsia="zh-CN"/>
        </w:rPr>
        <w:t>期）</w:t>
      </w:r>
      <w:r>
        <w:rPr>
          <w:rFonts w:hint="default" w:ascii="Times New Roman" w:hAnsi="Times New Roman" w:eastAsia="方正小标宋简体" w:cs="Times New Roman"/>
          <w:color w:val="auto"/>
          <w:sz w:val="44"/>
          <w:szCs w:val="44"/>
          <w:highlight w:val="none"/>
        </w:rPr>
        <w:t>信息披露文件</w:t>
      </w:r>
    </w:p>
    <w:p>
      <w:pPr>
        <w:keepNext w:val="0"/>
        <w:keepLines w:val="0"/>
        <w:pageBreakBefore w:val="0"/>
        <w:widowControl w:val="0"/>
        <w:kinsoku/>
        <w:wordWrap/>
        <w:overflowPunct/>
        <w:topLinePunct w:val="0"/>
        <w:autoSpaceDE/>
        <w:autoSpaceDN/>
        <w:bidi w:val="0"/>
        <w:adjustRightInd/>
        <w:snapToGrid w:val="0"/>
        <w:spacing w:line="580" w:lineRule="exact"/>
        <w:ind w:firstLine="576" w:firstLineChars="192"/>
        <w:textAlignment w:val="auto"/>
        <w:outlineLvl w:val="0"/>
        <w:rPr>
          <w:rFonts w:hint="default" w:ascii="Times New Roman" w:hAnsi="Times New Roman" w:eastAsia="仿宋_GB2312" w:cs="Times New Roman"/>
          <w:color w:val="auto"/>
          <w:szCs w:val="32"/>
          <w:highlight w:val="none"/>
          <w:lang w:val="en-US" w:eastAsia="zh-CN"/>
        </w:rPr>
      </w:pPr>
      <w:r>
        <w:rPr>
          <w:rFonts w:hint="default" w:ascii="Times New Roman" w:hAnsi="Times New Roman" w:cs="Times New Roman"/>
          <w:color w:val="auto"/>
          <w:szCs w:val="32"/>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line="580" w:lineRule="exact"/>
        <w:ind w:firstLine="614" w:firstLineChars="192"/>
        <w:textAlignment w:val="auto"/>
        <w:outlineLvl w:val="0"/>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一、债券概况</w:t>
      </w:r>
    </w:p>
    <w:p>
      <w:pPr>
        <w:pStyle w:val="4"/>
        <w:keepNext w:val="0"/>
        <w:keepLines w:val="0"/>
        <w:pageBreakBefore w:val="0"/>
        <w:widowControl w:val="0"/>
        <w:kinsoku/>
        <w:wordWrap/>
        <w:overflowPunct/>
        <w:topLinePunct w:val="0"/>
        <w:autoSpaceDE/>
        <w:autoSpaceDN/>
        <w:bidi w:val="0"/>
        <w:adjustRightInd/>
        <w:snapToGrid w:val="0"/>
        <w:spacing w:line="580" w:lineRule="exact"/>
        <w:ind w:firstLine="616" w:firstLineChars="192"/>
        <w:textAlignment w:val="auto"/>
        <w:rPr>
          <w:rFonts w:hint="default" w:ascii="Times New Roman" w:hAnsi="Times New Roman" w:eastAsia="楷体_GB2312" w:cs="Times New Roman"/>
          <w:b/>
          <w:bCs/>
          <w:color w:val="auto"/>
          <w:sz w:val="32"/>
          <w:szCs w:val="32"/>
          <w:highlight w:val="none"/>
        </w:rPr>
      </w:pPr>
      <w:r>
        <w:rPr>
          <w:rFonts w:hint="default" w:ascii="Times New Roman" w:hAnsi="Times New Roman" w:eastAsia="楷体_GB2312" w:cs="Times New Roman"/>
          <w:b/>
          <w:bCs/>
          <w:color w:val="auto"/>
          <w:sz w:val="32"/>
          <w:szCs w:val="32"/>
          <w:highlight w:val="none"/>
        </w:rPr>
        <w:t>（一）基本情况</w:t>
      </w:r>
    </w:p>
    <w:p>
      <w:pPr>
        <w:pStyle w:val="4"/>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2026年</w:t>
      </w:r>
      <w:r>
        <w:rPr>
          <w:rFonts w:hint="default" w:ascii="Times New Roman" w:hAnsi="Times New Roman" w:eastAsia="仿宋_GB2312" w:cs="Times New Roman"/>
          <w:color w:val="auto"/>
          <w:sz w:val="32"/>
          <w:szCs w:val="32"/>
          <w:highlight w:val="none"/>
          <w:lang w:val="en-US" w:eastAsia="zh-CN"/>
        </w:rPr>
        <w:t>四川省政府</w:t>
      </w:r>
      <w:r>
        <w:rPr>
          <w:rFonts w:hint="eastAsia" w:ascii="Times New Roman" w:hAnsi="Times New Roman" w:eastAsia="仿宋_GB2312" w:cs="Times New Roman"/>
          <w:color w:val="auto"/>
          <w:sz w:val="32"/>
          <w:szCs w:val="32"/>
          <w:highlight w:val="none"/>
          <w:lang w:val="en-US" w:eastAsia="zh-CN"/>
        </w:rPr>
        <w:t>再融资一般</w:t>
      </w:r>
      <w:r>
        <w:rPr>
          <w:rFonts w:hint="default" w:ascii="Times New Roman" w:hAnsi="Times New Roman" w:eastAsia="仿宋_GB2312" w:cs="Times New Roman"/>
          <w:color w:val="auto"/>
          <w:sz w:val="32"/>
          <w:szCs w:val="32"/>
          <w:highlight w:val="none"/>
          <w:lang w:val="en-US" w:eastAsia="zh-CN"/>
        </w:rPr>
        <w:t>债券（</w:t>
      </w:r>
      <w:r>
        <w:rPr>
          <w:rFonts w:hint="eastAsia" w:ascii="Times New Roman" w:hAnsi="Times New Roman" w:eastAsia="仿宋_GB2312" w:cs="Times New Roman"/>
          <w:color w:val="auto"/>
          <w:sz w:val="32"/>
          <w:szCs w:val="32"/>
          <w:highlight w:val="none"/>
          <w:lang w:val="en-US" w:eastAsia="zh-CN"/>
        </w:rPr>
        <w:t>六期</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rPr>
        <w:t>发行额</w:t>
      </w:r>
      <w:r>
        <w:rPr>
          <w:rFonts w:hint="eastAsia" w:ascii="Times New Roman" w:hAnsi="Times New Roman" w:eastAsia="仿宋_GB2312" w:cs="Times New Roman"/>
          <w:color w:val="auto"/>
          <w:sz w:val="32"/>
          <w:szCs w:val="32"/>
          <w:highlight w:val="none"/>
          <w:lang w:val="en-US" w:eastAsia="zh-CN"/>
        </w:rPr>
        <w:t>29.6753</w:t>
      </w:r>
      <w:r>
        <w:rPr>
          <w:rFonts w:hint="default" w:ascii="Times New Roman" w:hAnsi="Times New Roman" w:eastAsia="仿宋_GB2312" w:cs="Times New Roman"/>
          <w:color w:val="auto"/>
          <w:sz w:val="32"/>
          <w:szCs w:val="32"/>
          <w:highlight w:val="none"/>
          <w:lang w:val="en-US" w:eastAsia="zh-CN"/>
        </w:rPr>
        <w:t>亿元</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rPr>
        <w:t>期限</w:t>
      </w:r>
      <w:r>
        <w:rPr>
          <w:rFonts w:hint="eastAsia" w:ascii="Times New Roman" w:hAnsi="Times New Roman" w:eastAsia="仿宋_GB2312" w:cs="Times New Roman"/>
          <w:color w:val="auto"/>
          <w:sz w:val="32"/>
          <w:szCs w:val="32"/>
          <w:lang w:eastAsia="zh-CN"/>
        </w:rPr>
        <w:t>为</w:t>
      </w:r>
      <w:r>
        <w:rPr>
          <w:rFonts w:hint="eastAsia" w:ascii="Times New Roman" w:hAnsi="Times New Roman" w:eastAsia="仿宋_GB2312" w:cs="Times New Roman"/>
          <w:color w:val="auto"/>
          <w:sz w:val="32"/>
          <w:szCs w:val="32"/>
          <w:highlight w:val="none"/>
          <w:lang w:val="en-US" w:eastAsia="zh-CN"/>
        </w:rPr>
        <w:t>10年，债券利息按半</w:t>
      </w:r>
      <w:r>
        <w:rPr>
          <w:rFonts w:hint="default" w:ascii="Times New Roman" w:hAnsi="Times New Roman" w:eastAsia="仿宋_GB2312" w:cs="Times New Roman"/>
          <w:color w:val="auto"/>
          <w:sz w:val="32"/>
          <w:szCs w:val="32"/>
          <w:highlight w:val="none"/>
          <w:lang w:val="en-US" w:eastAsia="zh-CN"/>
        </w:rPr>
        <w:t>年支付</w:t>
      </w:r>
      <w:r>
        <w:rPr>
          <w:rFonts w:hint="eastAsia" w:ascii="Times New Roman" w:hAnsi="Times New Roman" w:eastAsia="仿宋_GB2312" w:cs="Times New Roman"/>
          <w:color w:val="auto"/>
          <w:sz w:val="32"/>
          <w:szCs w:val="32"/>
          <w:highlight w:val="none"/>
          <w:lang w:val="en-US" w:eastAsia="zh-CN"/>
        </w:rPr>
        <w:t>；再融资</w:t>
      </w:r>
      <w:r>
        <w:rPr>
          <w:rFonts w:hint="default" w:ascii="Times New Roman" w:hAnsi="Times New Roman" w:eastAsia="仿宋_GB2312" w:cs="Times New Roman"/>
          <w:color w:val="auto"/>
          <w:sz w:val="32"/>
          <w:szCs w:val="32"/>
          <w:highlight w:val="none"/>
          <w:lang w:val="en-US" w:eastAsia="zh-CN"/>
        </w:rPr>
        <w:t>专项债券（</w:t>
      </w:r>
      <w:r>
        <w:rPr>
          <w:rFonts w:hint="eastAsia" w:ascii="Times New Roman" w:hAnsi="Times New Roman" w:eastAsia="仿宋_GB2312" w:cs="Times New Roman"/>
          <w:color w:val="auto"/>
          <w:sz w:val="32"/>
          <w:szCs w:val="32"/>
          <w:highlight w:val="none"/>
          <w:lang w:val="en-US" w:eastAsia="zh-CN"/>
        </w:rPr>
        <w:t>十六期</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rPr>
        <w:t>发行额</w:t>
      </w:r>
      <w:r>
        <w:rPr>
          <w:rFonts w:hint="eastAsia" w:ascii="Times New Roman" w:hAnsi="Times New Roman" w:eastAsia="仿宋_GB2312" w:cs="Times New Roman"/>
          <w:color w:val="auto"/>
          <w:sz w:val="32"/>
          <w:szCs w:val="32"/>
          <w:highlight w:val="none"/>
          <w:lang w:val="en-US" w:eastAsia="zh-CN"/>
        </w:rPr>
        <w:t>26.9959</w:t>
      </w:r>
      <w:r>
        <w:rPr>
          <w:rFonts w:hint="default" w:ascii="Times New Roman" w:hAnsi="Times New Roman" w:eastAsia="仿宋_GB2312" w:cs="Times New Roman"/>
          <w:color w:val="auto"/>
          <w:sz w:val="32"/>
          <w:szCs w:val="32"/>
          <w:highlight w:val="none"/>
          <w:lang w:val="en-US" w:eastAsia="zh-CN"/>
        </w:rPr>
        <w:t>亿元</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rPr>
        <w:t>期限</w:t>
      </w:r>
      <w:r>
        <w:rPr>
          <w:rFonts w:hint="eastAsia" w:ascii="Times New Roman" w:hAnsi="Times New Roman" w:eastAsia="仿宋_GB2312" w:cs="Times New Roman"/>
          <w:color w:val="auto"/>
          <w:sz w:val="32"/>
          <w:szCs w:val="32"/>
          <w:lang w:eastAsia="zh-CN"/>
        </w:rPr>
        <w:t>为</w:t>
      </w:r>
      <w:r>
        <w:rPr>
          <w:rFonts w:hint="eastAsia" w:ascii="Times New Roman" w:hAnsi="Times New Roman" w:eastAsia="仿宋_GB2312" w:cs="Times New Roman"/>
          <w:color w:val="auto"/>
          <w:sz w:val="32"/>
          <w:szCs w:val="32"/>
          <w:highlight w:val="none"/>
          <w:lang w:val="en-US" w:eastAsia="zh-CN"/>
        </w:rPr>
        <w:t>7年，债券利息按</w:t>
      </w:r>
      <w:r>
        <w:rPr>
          <w:rFonts w:hint="default" w:ascii="Times New Roman" w:hAnsi="Times New Roman" w:eastAsia="仿宋_GB2312" w:cs="Times New Roman"/>
          <w:color w:val="auto"/>
          <w:sz w:val="32"/>
          <w:szCs w:val="32"/>
          <w:highlight w:val="none"/>
          <w:lang w:val="en-US" w:eastAsia="zh-CN"/>
        </w:rPr>
        <w:t>年支付。</w:t>
      </w:r>
      <w:r>
        <w:rPr>
          <w:rFonts w:hint="default" w:ascii="Times New Roman" w:hAnsi="Times New Roman" w:eastAsia="仿宋_GB2312" w:cs="Times New Roman"/>
          <w:color w:val="auto"/>
          <w:sz w:val="32"/>
          <w:szCs w:val="32"/>
          <w:highlight w:val="none"/>
        </w:rPr>
        <w:t>债券发行后可按规定在全国银行间债券市场和证券交易所债券市场上市流通。债券具体情况详见《四川省财政厅关于发行202</w:t>
      </w:r>
      <w:r>
        <w:rPr>
          <w:rFonts w:hint="default" w:ascii="Times New Roman" w:hAnsi="Times New Roman" w:eastAsia="仿宋_GB2312" w:cs="Times New Roman"/>
          <w:color w:val="auto"/>
          <w:sz w:val="32"/>
          <w:szCs w:val="32"/>
          <w:highlight w:val="none"/>
          <w:lang w:val="en"/>
        </w:rPr>
        <w:t>6</w:t>
      </w:r>
      <w:r>
        <w:rPr>
          <w:rFonts w:hint="default" w:ascii="Times New Roman" w:hAnsi="Times New Roman" w:eastAsia="仿宋_GB2312" w:cs="Times New Roman"/>
          <w:color w:val="auto"/>
          <w:sz w:val="32"/>
          <w:szCs w:val="32"/>
          <w:highlight w:val="none"/>
        </w:rPr>
        <w:t>年四川省政府再融资</w:t>
      </w:r>
      <w:r>
        <w:rPr>
          <w:rFonts w:hint="default" w:ascii="Times New Roman" w:hAnsi="Times New Roman" w:eastAsia="仿宋_GB2312" w:cs="Times New Roman"/>
          <w:color w:val="auto"/>
          <w:sz w:val="32"/>
          <w:szCs w:val="32"/>
          <w:highlight w:val="none"/>
          <w:lang w:eastAsia="zh-CN"/>
        </w:rPr>
        <w:t>一般</w:t>
      </w:r>
      <w:r>
        <w:rPr>
          <w:rFonts w:hint="default" w:ascii="Times New Roman" w:hAnsi="Times New Roman" w:eastAsia="仿宋_GB2312" w:cs="Times New Roman"/>
          <w:color w:val="auto"/>
          <w:sz w:val="32"/>
          <w:szCs w:val="32"/>
          <w:highlight w:val="none"/>
        </w:rPr>
        <w:t>债券（</w:t>
      </w:r>
      <w:r>
        <w:rPr>
          <w:rFonts w:hint="default" w:ascii="Times New Roman" w:hAnsi="Times New Roman" w:eastAsia="仿宋_GB2312" w:cs="Times New Roman"/>
          <w:color w:val="auto"/>
          <w:sz w:val="32"/>
          <w:szCs w:val="32"/>
          <w:highlight w:val="none"/>
          <w:lang w:eastAsia="zh-CN"/>
        </w:rPr>
        <w:t>六</w:t>
      </w:r>
      <w:r>
        <w:rPr>
          <w:rFonts w:hint="default" w:ascii="Times New Roman" w:hAnsi="Times New Roman" w:eastAsia="仿宋_GB2312" w:cs="Times New Roman"/>
          <w:color w:val="auto"/>
          <w:sz w:val="32"/>
          <w:szCs w:val="32"/>
          <w:highlight w:val="none"/>
        </w:rPr>
        <w:t>期）</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再融资专项债券</w:t>
      </w:r>
      <w:r>
        <w:rPr>
          <w:rFonts w:hint="eastAsia" w:ascii="Times New Roman" w:hAnsi="Times New Roman" w:eastAsia="仿宋_GB2312" w:cs="Times New Roman"/>
          <w:color w:val="auto"/>
          <w:sz w:val="32"/>
          <w:szCs w:val="32"/>
          <w:highlight w:val="none"/>
          <w:lang w:eastAsia="zh-CN"/>
        </w:rPr>
        <w:t>（十六期）</w:t>
      </w:r>
      <w:r>
        <w:rPr>
          <w:rFonts w:hint="default" w:ascii="Times New Roman" w:hAnsi="Times New Roman" w:eastAsia="仿宋_GB2312" w:cs="Times New Roman"/>
          <w:color w:val="auto"/>
          <w:sz w:val="32"/>
          <w:szCs w:val="32"/>
          <w:highlight w:val="none"/>
        </w:rPr>
        <w:t>和2026年四川省政府专项债券（</w:t>
      </w:r>
      <w:r>
        <w:rPr>
          <w:rFonts w:hint="default" w:ascii="Times New Roman" w:hAnsi="Times New Roman" w:eastAsia="仿宋_GB2312" w:cs="Times New Roman"/>
          <w:color w:val="auto"/>
          <w:sz w:val="32"/>
          <w:szCs w:val="32"/>
          <w:highlight w:val="none"/>
          <w:lang w:eastAsia="zh-CN"/>
        </w:rPr>
        <w:t>五十</w:t>
      </w:r>
      <w:r>
        <w:rPr>
          <w:rFonts w:hint="default" w:ascii="Times New Roman" w:hAnsi="Times New Roman" w:eastAsia="仿宋_GB2312" w:cs="Times New Roman"/>
          <w:color w:val="auto"/>
          <w:sz w:val="32"/>
          <w:szCs w:val="32"/>
          <w:highlight w:val="none"/>
        </w:rPr>
        <w:t>至</w:t>
      </w:r>
      <w:r>
        <w:rPr>
          <w:rFonts w:hint="default" w:ascii="Times New Roman" w:hAnsi="Times New Roman" w:eastAsia="仿宋_GB2312" w:cs="Times New Roman"/>
          <w:color w:val="auto"/>
          <w:sz w:val="32"/>
          <w:szCs w:val="32"/>
          <w:highlight w:val="none"/>
          <w:lang w:eastAsia="zh-CN"/>
        </w:rPr>
        <w:t>五十四</w:t>
      </w:r>
      <w:r>
        <w:rPr>
          <w:rFonts w:hint="default" w:ascii="Times New Roman" w:hAnsi="Times New Roman" w:eastAsia="仿宋_GB2312" w:cs="Times New Roman"/>
          <w:color w:val="auto"/>
          <w:sz w:val="32"/>
          <w:szCs w:val="32"/>
          <w:highlight w:val="none"/>
        </w:rPr>
        <w:t>期）有关事项的通知》。</w:t>
      </w:r>
    </w:p>
    <w:p>
      <w:pPr>
        <w:pStyle w:val="4"/>
        <w:keepNext w:val="0"/>
        <w:keepLines w:val="0"/>
        <w:pageBreakBefore w:val="0"/>
        <w:widowControl w:val="0"/>
        <w:kinsoku/>
        <w:wordWrap/>
        <w:overflowPunct/>
        <w:topLinePunct w:val="0"/>
        <w:autoSpaceDE/>
        <w:autoSpaceDN/>
        <w:bidi w:val="0"/>
        <w:adjustRightInd/>
        <w:snapToGrid w:val="0"/>
        <w:spacing w:line="580" w:lineRule="exact"/>
        <w:ind w:firstLine="616" w:firstLineChars="192"/>
        <w:textAlignment w:val="auto"/>
        <w:rPr>
          <w:rFonts w:hint="default" w:ascii="Times New Roman" w:hAnsi="Times New Roman" w:eastAsia="楷体_GB2312" w:cs="Times New Roman"/>
          <w:b/>
          <w:bCs/>
          <w:color w:val="auto"/>
          <w:sz w:val="32"/>
          <w:szCs w:val="32"/>
          <w:highlight w:val="none"/>
        </w:rPr>
      </w:pPr>
      <w:r>
        <w:rPr>
          <w:rFonts w:hint="default" w:ascii="Times New Roman" w:hAnsi="Times New Roman" w:eastAsia="楷体_GB2312" w:cs="Times New Roman"/>
          <w:b/>
          <w:bCs/>
          <w:color w:val="auto"/>
          <w:sz w:val="32"/>
          <w:szCs w:val="32"/>
          <w:highlight w:val="none"/>
        </w:rPr>
        <w:t>（二）发行方式</w:t>
      </w:r>
    </w:p>
    <w:p>
      <w:pPr>
        <w:pStyle w:val="4"/>
        <w:keepNext w:val="0"/>
        <w:keepLines w:val="0"/>
        <w:pageBreakBefore w:val="0"/>
        <w:widowControl w:val="0"/>
        <w:kinsoku/>
        <w:wordWrap/>
        <w:overflowPunct/>
        <w:topLinePunct w:val="0"/>
        <w:autoSpaceDE/>
        <w:autoSpaceDN/>
        <w:bidi w:val="0"/>
        <w:adjustRightInd/>
        <w:snapToGrid w:val="0"/>
        <w:spacing w:line="580" w:lineRule="exact"/>
        <w:ind w:firstLine="614" w:firstLineChars="192"/>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2026年四川省政府再融资一般债券（六期）及再融资专项债券（十六期）</w:t>
      </w:r>
      <w:r>
        <w:rPr>
          <w:rFonts w:hint="default" w:ascii="Times New Roman" w:hAnsi="Times New Roman" w:eastAsia="仿宋_GB2312" w:cs="Times New Roman"/>
          <w:color w:val="auto"/>
          <w:sz w:val="32"/>
          <w:szCs w:val="32"/>
          <w:highlight w:val="none"/>
        </w:rPr>
        <w:t>通过招标方式发行。</w:t>
      </w:r>
      <w:r>
        <w:rPr>
          <w:rFonts w:hint="default" w:ascii="Times New Roman" w:hAnsi="Times New Roman" w:eastAsia="仿宋_GB2312" w:cs="Times New Roman"/>
          <w:sz w:val="32"/>
          <w:szCs w:val="32"/>
          <w:highlight w:val="none"/>
        </w:rPr>
        <w:t>四川省财政厅于招</w:t>
      </w:r>
      <w:r>
        <w:rPr>
          <w:rFonts w:hint="default" w:ascii="Times New Roman" w:hAnsi="Times New Roman" w:eastAsia="仿宋_GB2312" w:cs="Times New Roman"/>
          <w:w w:val="97"/>
          <w:sz w:val="32"/>
          <w:szCs w:val="32"/>
          <w:highlight w:val="none"/>
        </w:rPr>
        <w:t>标日通过财政部上海证券交易所</w:t>
      </w:r>
      <w:r>
        <w:rPr>
          <w:rFonts w:hint="eastAsia" w:ascii="Times New Roman" w:hAnsi="Times New Roman" w:eastAsia="仿宋_GB2312" w:cs="Times New Roman"/>
          <w:w w:val="97"/>
          <w:sz w:val="32"/>
          <w:szCs w:val="32"/>
          <w:highlight w:val="none"/>
          <w:lang w:eastAsia="zh-CN"/>
        </w:rPr>
        <w:t>政府</w:t>
      </w:r>
      <w:r>
        <w:rPr>
          <w:rFonts w:hint="default" w:ascii="Times New Roman" w:hAnsi="Times New Roman" w:eastAsia="仿宋_GB2312" w:cs="Times New Roman"/>
          <w:w w:val="97"/>
          <w:sz w:val="32"/>
          <w:szCs w:val="32"/>
          <w:highlight w:val="none"/>
        </w:rPr>
        <w:t>债券发行系统组织招投标工作，</w:t>
      </w:r>
      <w:r>
        <w:rPr>
          <w:rFonts w:hint="default" w:ascii="Times New Roman" w:hAnsi="Times New Roman" w:eastAsia="仿宋_GB2312" w:cs="Times New Roman"/>
          <w:color w:val="auto"/>
          <w:w w:val="97"/>
          <w:sz w:val="32"/>
          <w:szCs w:val="32"/>
          <w:highlight w:val="none"/>
        </w:rPr>
        <w:t>参与机构为</w:t>
      </w:r>
      <w:r>
        <w:rPr>
          <w:rFonts w:hint="eastAsia" w:ascii="Times New Roman" w:hAnsi="Times New Roman" w:eastAsia="仿宋_GB2312" w:cs="Times New Roman"/>
          <w:color w:val="auto"/>
          <w:w w:val="97"/>
          <w:sz w:val="32"/>
          <w:szCs w:val="32"/>
          <w:highlight w:val="none"/>
          <w:lang w:val="en-US" w:eastAsia="zh-CN"/>
        </w:rPr>
        <w:t>2024-2026年</w:t>
      </w:r>
      <w:r>
        <w:rPr>
          <w:rFonts w:hint="default" w:ascii="Times New Roman" w:hAnsi="Times New Roman" w:eastAsia="仿宋_GB2312" w:cs="Times New Roman"/>
          <w:color w:val="auto"/>
          <w:w w:val="97"/>
          <w:sz w:val="32"/>
          <w:szCs w:val="32"/>
          <w:highlight w:val="none"/>
        </w:rPr>
        <w:t>四川省政府债券承销团成员</w:t>
      </w:r>
      <w:r>
        <w:rPr>
          <w:rFonts w:hint="default" w:ascii="Times New Roman" w:hAnsi="Times New Roman" w:eastAsia="仿宋_GB2312" w:cs="Times New Roman"/>
          <w:color w:val="auto"/>
          <w:sz w:val="32"/>
          <w:szCs w:val="32"/>
          <w:highlight w:val="none"/>
        </w:rPr>
        <w:t>。招标发行具体安排详见四川省财政厅《关于印发〈四川省政府债券公开招标发行与兑付管理办法〉的通知》《四川省财政厅关于发行202</w:t>
      </w:r>
      <w:r>
        <w:rPr>
          <w:rFonts w:hint="default" w:ascii="Times New Roman" w:hAnsi="Times New Roman" w:eastAsia="仿宋_GB2312" w:cs="Times New Roman"/>
          <w:color w:val="auto"/>
          <w:sz w:val="32"/>
          <w:szCs w:val="32"/>
          <w:highlight w:val="none"/>
          <w:lang w:val="en"/>
        </w:rPr>
        <w:t>6</w:t>
      </w:r>
      <w:r>
        <w:rPr>
          <w:rFonts w:hint="default" w:ascii="Times New Roman" w:hAnsi="Times New Roman" w:eastAsia="仿宋_GB2312" w:cs="Times New Roman"/>
          <w:color w:val="auto"/>
          <w:sz w:val="32"/>
          <w:szCs w:val="32"/>
          <w:highlight w:val="none"/>
        </w:rPr>
        <w:t>年四川省政府再融资</w:t>
      </w:r>
      <w:r>
        <w:rPr>
          <w:rFonts w:hint="default" w:ascii="Times New Roman" w:hAnsi="Times New Roman" w:eastAsia="仿宋_GB2312" w:cs="Times New Roman"/>
          <w:color w:val="auto"/>
          <w:sz w:val="32"/>
          <w:szCs w:val="32"/>
          <w:highlight w:val="none"/>
          <w:lang w:eastAsia="zh-CN"/>
        </w:rPr>
        <w:t>一般</w:t>
      </w:r>
      <w:r>
        <w:rPr>
          <w:rFonts w:hint="default" w:ascii="Times New Roman" w:hAnsi="Times New Roman" w:eastAsia="仿宋_GB2312" w:cs="Times New Roman"/>
          <w:color w:val="auto"/>
          <w:sz w:val="32"/>
          <w:szCs w:val="32"/>
          <w:highlight w:val="none"/>
        </w:rPr>
        <w:t>债券（</w:t>
      </w:r>
      <w:r>
        <w:rPr>
          <w:rFonts w:hint="default" w:ascii="Times New Roman" w:hAnsi="Times New Roman" w:eastAsia="仿宋_GB2312" w:cs="Times New Roman"/>
          <w:color w:val="auto"/>
          <w:sz w:val="32"/>
          <w:szCs w:val="32"/>
          <w:highlight w:val="none"/>
          <w:lang w:eastAsia="zh-CN"/>
        </w:rPr>
        <w:t>六</w:t>
      </w:r>
      <w:r>
        <w:rPr>
          <w:rFonts w:hint="default" w:ascii="Times New Roman" w:hAnsi="Times New Roman" w:eastAsia="仿宋_GB2312" w:cs="Times New Roman"/>
          <w:color w:val="auto"/>
          <w:sz w:val="32"/>
          <w:szCs w:val="32"/>
          <w:highlight w:val="none"/>
        </w:rPr>
        <w:t>期）</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再融资专项债券</w:t>
      </w:r>
      <w:r>
        <w:rPr>
          <w:rFonts w:hint="eastAsia" w:ascii="Times New Roman" w:hAnsi="Times New Roman" w:eastAsia="仿宋_GB2312" w:cs="Times New Roman"/>
          <w:color w:val="auto"/>
          <w:sz w:val="32"/>
          <w:szCs w:val="32"/>
          <w:highlight w:val="none"/>
          <w:lang w:eastAsia="zh-CN"/>
        </w:rPr>
        <w:t>（十六期）</w:t>
      </w:r>
      <w:r>
        <w:rPr>
          <w:rFonts w:hint="default" w:ascii="Times New Roman" w:hAnsi="Times New Roman" w:eastAsia="仿宋_GB2312" w:cs="Times New Roman"/>
          <w:color w:val="auto"/>
          <w:sz w:val="32"/>
          <w:szCs w:val="32"/>
          <w:highlight w:val="none"/>
        </w:rPr>
        <w:t>和2026年四川省政府专项债券（</w:t>
      </w:r>
      <w:r>
        <w:rPr>
          <w:rFonts w:hint="default" w:ascii="Times New Roman" w:hAnsi="Times New Roman" w:eastAsia="仿宋_GB2312" w:cs="Times New Roman"/>
          <w:color w:val="auto"/>
          <w:sz w:val="32"/>
          <w:szCs w:val="32"/>
          <w:highlight w:val="none"/>
          <w:lang w:eastAsia="zh-CN"/>
        </w:rPr>
        <w:t>五十</w:t>
      </w:r>
      <w:r>
        <w:rPr>
          <w:rFonts w:hint="default" w:ascii="Times New Roman" w:hAnsi="Times New Roman" w:eastAsia="仿宋_GB2312" w:cs="Times New Roman"/>
          <w:color w:val="auto"/>
          <w:sz w:val="32"/>
          <w:szCs w:val="32"/>
          <w:highlight w:val="none"/>
        </w:rPr>
        <w:t>至</w:t>
      </w:r>
      <w:r>
        <w:rPr>
          <w:rFonts w:hint="default" w:ascii="Times New Roman" w:hAnsi="Times New Roman" w:eastAsia="仿宋_GB2312" w:cs="Times New Roman"/>
          <w:color w:val="auto"/>
          <w:sz w:val="32"/>
          <w:szCs w:val="32"/>
          <w:highlight w:val="none"/>
          <w:lang w:eastAsia="zh-CN"/>
        </w:rPr>
        <w:t>五十四</w:t>
      </w:r>
      <w:r>
        <w:rPr>
          <w:rFonts w:hint="default" w:ascii="Times New Roman" w:hAnsi="Times New Roman" w:eastAsia="仿宋_GB2312" w:cs="Times New Roman"/>
          <w:color w:val="auto"/>
          <w:sz w:val="32"/>
          <w:szCs w:val="32"/>
          <w:highlight w:val="none"/>
        </w:rPr>
        <w:t>期）有关事项的通知》等。</w:t>
      </w:r>
    </w:p>
    <w:p>
      <w:pPr>
        <w:pStyle w:val="4"/>
        <w:keepNext w:val="0"/>
        <w:keepLines w:val="0"/>
        <w:pageBreakBefore w:val="0"/>
        <w:widowControl w:val="0"/>
        <w:numPr>
          <w:ilvl w:val="0"/>
          <w:numId w:val="1"/>
        </w:numPr>
        <w:kinsoku/>
        <w:wordWrap/>
        <w:overflowPunct/>
        <w:topLinePunct w:val="0"/>
        <w:autoSpaceDE/>
        <w:autoSpaceDN/>
        <w:bidi w:val="0"/>
        <w:adjustRightInd/>
        <w:snapToGrid w:val="0"/>
        <w:spacing w:line="580" w:lineRule="exact"/>
        <w:ind w:firstLine="616" w:firstLineChars="192"/>
        <w:textAlignment w:val="auto"/>
        <w:rPr>
          <w:rFonts w:hint="default" w:ascii="Times New Roman" w:hAnsi="Times New Roman" w:eastAsia="楷体_GB2312" w:cs="Times New Roman"/>
          <w:b/>
          <w:bCs/>
          <w:color w:val="auto"/>
          <w:sz w:val="32"/>
          <w:szCs w:val="32"/>
          <w:highlight w:val="none"/>
        </w:rPr>
      </w:pPr>
      <w:r>
        <w:rPr>
          <w:rFonts w:hint="default" w:ascii="Times New Roman" w:hAnsi="Times New Roman" w:eastAsia="楷体_GB2312" w:cs="Times New Roman"/>
          <w:b/>
          <w:bCs/>
          <w:color w:val="auto"/>
          <w:sz w:val="32"/>
          <w:szCs w:val="32"/>
          <w:highlight w:val="none"/>
        </w:rPr>
        <w:t>募集资金投向说明</w:t>
      </w:r>
    </w:p>
    <w:p>
      <w:pPr>
        <w:pStyle w:val="4"/>
        <w:keepNext w:val="0"/>
        <w:keepLines w:val="0"/>
        <w:pageBreakBefore w:val="0"/>
        <w:widowControl w:val="0"/>
        <w:numPr>
          <w:ilvl w:val="0"/>
          <w:numId w:val="0"/>
        </w:numPr>
        <w:kinsoku/>
        <w:wordWrap/>
        <w:overflowPunct/>
        <w:topLinePunct w:val="0"/>
        <w:autoSpaceDE/>
        <w:autoSpaceDN/>
        <w:bidi w:val="0"/>
        <w:adjustRightInd/>
        <w:snapToGrid w:val="0"/>
        <w:spacing w:line="580" w:lineRule="exact"/>
        <w:ind w:firstLine="640" w:firstLineChars="200"/>
        <w:textAlignment w:val="auto"/>
        <w:rPr>
          <w:rFonts w:hint="default" w:ascii="Times New Roman" w:hAnsi="Times New Roman" w:eastAsia="楷体_GB2312" w:cs="Times New Roman"/>
          <w:b/>
          <w:bCs/>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按照财政部要求</w:t>
      </w:r>
      <w:r>
        <w:rPr>
          <w:rFonts w:hint="default" w:ascii="Times New Roman" w:hAnsi="Times New Roman" w:eastAsia="仿宋_GB2312" w:cs="Times New Roman"/>
          <w:color w:val="auto"/>
          <w:sz w:val="32"/>
          <w:szCs w:val="32"/>
          <w:highlight w:val="none"/>
          <w:lang w:eastAsia="zh-CN"/>
        </w:rPr>
        <w:t>，一般债券纳入一般公共预算管理，</w:t>
      </w:r>
      <w:r>
        <w:rPr>
          <w:rFonts w:hint="default" w:ascii="Times New Roman" w:hAnsi="Times New Roman" w:eastAsia="仿宋_GB2312" w:cs="Times New Roman"/>
          <w:color w:val="auto"/>
          <w:sz w:val="32"/>
          <w:szCs w:val="32"/>
          <w:highlight w:val="none"/>
        </w:rPr>
        <w:t>专项债券纳入政府性基金预算管理</w:t>
      </w:r>
      <w:r>
        <w:rPr>
          <w:rFonts w:hint="default" w:ascii="Times New Roman" w:hAnsi="Times New Roman" w:eastAsia="仿宋_GB2312" w:cs="Times New Roman"/>
          <w:color w:val="auto"/>
          <w:sz w:val="32"/>
          <w:szCs w:val="32"/>
          <w:highlight w:val="none"/>
          <w:lang w:val="en-US" w:eastAsia="zh-CN"/>
        </w:rPr>
        <w:t>。本批</w:t>
      </w:r>
      <w:r>
        <w:rPr>
          <w:rFonts w:hint="default" w:ascii="Times New Roman" w:hAnsi="Times New Roman" w:eastAsia="仿宋_GB2312" w:cs="Times New Roman"/>
          <w:color w:val="auto"/>
          <w:sz w:val="32"/>
          <w:szCs w:val="32"/>
          <w:highlight w:val="none"/>
        </w:rPr>
        <w:t>债券</w:t>
      </w:r>
      <w:r>
        <w:rPr>
          <w:rFonts w:hint="eastAsia" w:ascii="Times New Roman" w:hAnsi="Times New Roman" w:eastAsia="仿宋_GB2312" w:cs="Times New Roman"/>
          <w:color w:val="auto"/>
          <w:sz w:val="32"/>
          <w:szCs w:val="32"/>
          <w:highlight w:val="none"/>
          <w:lang w:eastAsia="zh-CN"/>
        </w:rPr>
        <w:t>募集资金</w:t>
      </w:r>
      <w:r>
        <w:rPr>
          <w:rFonts w:hint="default" w:ascii="Times New Roman" w:hAnsi="Times New Roman" w:eastAsia="仿宋_GB2312" w:cs="Times New Roman"/>
          <w:color w:val="auto"/>
          <w:sz w:val="32"/>
          <w:szCs w:val="32"/>
          <w:highlight w:val="none"/>
          <w:lang w:eastAsia="zh-CN"/>
        </w:rPr>
        <w:t>用于偿还到期政府债券</w:t>
      </w:r>
      <w:r>
        <w:rPr>
          <w:rFonts w:hint="default" w:ascii="Times New Roman" w:hAnsi="Times New Roman" w:eastAsia="仿宋_GB2312" w:cs="Times New Roman"/>
          <w:color w:val="auto"/>
          <w:sz w:val="32"/>
          <w:szCs w:val="32"/>
          <w:highlight w:val="none"/>
          <w:lang w:val="en-US" w:eastAsia="zh-CN"/>
        </w:rPr>
        <w:t>本金，到期债券具体情况如下：</w:t>
      </w:r>
    </w:p>
    <w:tbl>
      <w:tblPr>
        <w:tblStyle w:val="12"/>
        <w:tblW w:w="8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00"/>
        <w:gridCol w:w="825"/>
        <w:gridCol w:w="1114"/>
        <w:gridCol w:w="900"/>
        <w:gridCol w:w="1057"/>
        <w:gridCol w:w="10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jc w:val="center"/>
        </w:trPr>
        <w:tc>
          <w:tcPr>
            <w:tcW w:w="350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color w:val="auto"/>
                <w:kern w:val="0"/>
                <w:sz w:val="16"/>
                <w:szCs w:val="16"/>
                <w:highlight w:val="none"/>
                <w:u w:val="none"/>
                <w:lang w:val="en-US" w:eastAsia="zh-CN" w:bidi="ar"/>
              </w:rPr>
            </w:pPr>
            <w:r>
              <w:rPr>
                <w:rFonts w:hint="default" w:ascii="Times New Roman" w:hAnsi="Times New Roman" w:eastAsia="宋体" w:cs="Times New Roman"/>
                <w:i w:val="0"/>
                <w:color w:val="auto"/>
                <w:kern w:val="0"/>
                <w:sz w:val="16"/>
                <w:szCs w:val="16"/>
                <w:highlight w:val="none"/>
                <w:u w:val="none"/>
                <w:lang w:val="en-US" w:eastAsia="zh-CN" w:bidi="ar"/>
              </w:rPr>
              <w:t>债券名称</w:t>
            </w:r>
          </w:p>
        </w:tc>
        <w:tc>
          <w:tcPr>
            <w:tcW w:w="82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color w:val="auto"/>
                <w:kern w:val="0"/>
                <w:sz w:val="16"/>
                <w:szCs w:val="16"/>
                <w:highlight w:val="none"/>
                <w:u w:val="none"/>
                <w:lang w:val="en-US" w:eastAsia="zh-CN" w:bidi="ar"/>
              </w:rPr>
            </w:pPr>
            <w:r>
              <w:rPr>
                <w:rFonts w:hint="default" w:ascii="Times New Roman" w:hAnsi="Times New Roman" w:eastAsia="宋体" w:cs="Times New Roman"/>
                <w:i w:val="0"/>
                <w:color w:val="auto"/>
                <w:kern w:val="0"/>
                <w:sz w:val="16"/>
                <w:szCs w:val="16"/>
                <w:highlight w:val="none"/>
                <w:u w:val="none"/>
                <w:lang w:val="en-US" w:eastAsia="zh-CN" w:bidi="ar"/>
              </w:rPr>
              <w:t>债券代码</w:t>
            </w:r>
          </w:p>
        </w:tc>
        <w:tc>
          <w:tcPr>
            <w:tcW w:w="111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color w:val="auto"/>
                <w:kern w:val="0"/>
                <w:sz w:val="16"/>
                <w:szCs w:val="16"/>
                <w:highlight w:val="none"/>
                <w:u w:val="none"/>
                <w:lang w:val="en-US" w:eastAsia="zh-CN" w:bidi="ar"/>
              </w:rPr>
            </w:pPr>
            <w:r>
              <w:rPr>
                <w:rFonts w:hint="default" w:ascii="Times New Roman" w:hAnsi="Times New Roman" w:eastAsia="宋体" w:cs="Times New Roman"/>
                <w:i w:val="0"/>
                <w:color w:val="auto"/>
                <w:kern w:val="0"/>
                <w:sz w:val="16"/>
                <w:szCs w:val="16"/>
                <w:highlight w:val="none"/>
                <w:u w:val="none"/>
                <w:lang w:val="en-US" w:eastAsia="zh-CN" w:bidi="ar"/>
              </w:rPr>
              <w:t>债券简称</w:t>
            </w:r>
          </w:p>
        </w:tc>
        <w:tc>
          <w:tcPr>
            <w:tcW w:w="90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color w:val="auto"/>
                <w:kern w:val="0"/>
                <w:sz w:val="16"/>
                <w:szCs w:val="16"/>
                <w:highlight w:val="none"/>
                <w:u w:val="none"/>
                <w:lang w:val="en-US" w:eastAsia="zh-CN" w:bidi="ar"/>
              </w:rPr>
            </w:pPr>
            <w:r>
              <w:rPr>
                <w:rFonts w:hint="default" w:ascii="Times New Roman" w:hAnsi="Times New Roman" w:eastAsia="宋体" w:cs="Times New Roman"/>
                <w:i w:val="0"/>
                <w:color w:val="auto"/>
                <w:kern w:val="0"/>
                <w:sz w:val="16"/>
                <w:szCs w:val="16"/>
                <w:highlight w:val="none"/>
                <w:u w:val="none"/>
                <w:lang w:val="en-US" w:eastAsia="zh-CN" w:bidi="ar"/>
              </w:rPr>
              <w:t>票面利率（%）</w:t>
            </w:r>
          </w:p>
        </w:tc>
        <w:tc>
          <w:tcPr>
            <w:tcW w:w="105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color w:val="auto"/>
                <w:kern w:val="0"/>
                <w:sz w:val="16"/>
                <w:szCs w:val="16"/>
                <w:highlight w:val="none"/>
                <w:u w:val="none"/>
                <w:lang w:val="en-US" w:eastAsia="zh-CN" w:bidi="ar"/>
              </w:rPr>
            </w:pPr>
            <w:r>
              <w:rPr>
                <w:rFonts w:hint="default" w:ascii="Times New Roman" w:hAnsi="Times New Roman" w:eastAsia="宋体" w:cs="Times New Roman"/>
                <w:i w:val="0"/>
                <w:color w:val="auto"/>
                <w:kern w:val="0"/>
                <w:sz w:val="16"/>
                <w:szCs w:val="16"/>
                <w:highlight w:val="none"/>
                <w:u w:val="none"/>
                <w:lang w:val="en-US" w:eastAsia="zh-CN" w:bidi="ar"/>
              </w:rPr>
              <w:t>还本</w:t>
            </w:r>
          </w:p>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color w:val="auto"/>
                <w:kern w:val="0"/>
                <w:sz w:val="16"/>
                <w:szCs w:val="16"/>
                <w:highlight w:val="none"/>
                <w:u w:val="none"/>
                <w:lang w:val="en-US" w:eastAsia="zh-CN" w:bidi="ar"/>
              </w:rPr>
            </w:pPr>
            <w:r>
              <w:rPr>
                <w:rFonts w:hint="default" w:ascii="Times New Roman" w:hAnsi="Times New Roman" w:eastAsia="宋体" w:cs="Times New Roman"/>
                <w:i w:val="0"/>
                <w:color w:val="auto"/>
                <w:kern w:val="0"/>
                <w:sz w:val="16"/>
                <w:szCs w:val="16"/>
                <w:highlight w:val="none"/>
                <w:u w:val="none"/>
                <w:lang w:val="en-US" w:eastAsia="zh-CN" w:bidi="ar"/>
              </w:rPr>
              <w:t>付息日</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color w:val="auto"/>
                <w:kern w:val="0"/>
                <w:sz w:val="16"/>
                <w:szCs w:val="16"/>
                <w:highlight w:val="none"/>
                <w:u w:val="none"/>
                <w:lang w:val="en-US" w:eastAsia="zh-CN" w:bidi="ar"/>
              </w:rPr>
            </w:pPr>
            <w:r>
              <w:rPr>
                <w:rFonts w:hint="default" w:ascii="Times New Roman" w:hAnsi="Times New Roman" w:eastAsia="宋体" w:cs="Times New Roman"/>
                <w:i w:val="0"/>
                <w:color w:val="auto"/>
                <w:kern w:val="0"/>
                <w:sz w:val="16"/>
                <w:szCs w:val="16"/>
                <w:highlight w:val="none"/>
                <w:u w:val="none"/>
                <w:lang w:val="en-US" w:eastAsia="zh-CN" w:bidi="ar"/>
              </w:rPr>
              <w:t>发行再融资债券偿还金额（</w:t>
            </w:r>
            <w:r>
              <w:rPr>
                <w:rFonts w:hint="eastAsia" w:eastAsia="宋体" w:cs="Times New Roman"/>
                <w:i w:val="0"/>
                <w:color w:val="auto"/>
                <w:kern w:val="0"/>
                <w:sz w:val="16"/>
                <w:szCs w:val="16"/>
                <w:highlight w:val="none"/>
                <w:u w:val="none"/>
                <w:lang w:val="en-US" w:eastAsia="zh-CN" w:bidi="ar"/>
              </w:rPr>
              <w:t>万</w:t>
            </w:r>
            <w:r>
              <w:rPr>
                <w:rFonts w:hint="default" w:ascii="Times New Roman" w:hAnsi="Times New Roman" w:eastAsia="宋体" w:cs="Times New Roman"/>
                <w:i w:val="0"/>
                <w:color w:val="auto"/>
                <w:kern w:val="0"/>
                <w:sz w:val="16"/>
                <w:szCs w:val="16"/>
                <w:highlight w:val="none"/>
                <w:u w:val="none"/>
                <w:lang w:val="en-US" w:eastAsia="zh-CN" w:bidi="ar"/>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jc w:val="center"/>
        </w:trPr>
        <w:tc>
          <w:tcPr>
            <w:tcW w:w="350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color w:val="auto"/>
                <w:kern w:val="0"/>
                <w:sz w:val="16"/>
                <w:szCs w:val="16"/>
                <w:highlight w:val="none"/>
                <w:u w:val="none"/>
                <w:lang w:val="en-US" w:eastAsia="zh-CN" w:bidi="ar"/>
              </w:rPr>
            </w:pPr>
            <w:r>
              <w:rPr>
                <w:rFonts w:hint="default" w:ascii="Times New Roman" w:hAnsi="Times New Roman" w:eastAsia="宋体" w:cs="Times New Roman"/>
                <w:i w:val="0"/>
                <w:color w:val="auto"/>
                <w:kern w:val="0"/>
                <w:sz w:val="16"/>
                <w:szCs w:val="16"/>
                <w:highlight w:val="none"/>
                <w:u w:val="none"/>
                <w:lang w:val="en-US" w:eastAsia="zh-CN" w:bidi="ar"/>
              </w:rPr>
              <w:t>2016年四川省政府一般债券（</w:t>
            </w:r>
            <w:r>
              <w:rPr>
                <w:rFonts w:hint="eastAsia" w:eastAsia="宋体" w:cs="Times New Roman"/>
                <w:i w:val="0"/>
                <w:color w:val="auto"/>
                <w:kern w:val="0"/>
                <w:sz w:val="16"/>
                <w:szCs w:val="16"/>
                <w:highlight w:val="none"/>
                <w:u w:val="none"/>
                <w:lang w:val="en-US" w:eastAsia="zh-CN" w:bidi="ar"/>
              </w:rPr>
              <w:t>二十期</w:t>
            </w:r>
            <w:r>
              <w:rPr>
                <w:rFonts w:hint="default" w:ascii="Times New Roman" w:hAnsi="Times New Roman" w:eastAsia="宋体" w:cs="Times New Roman"/>
                <w:i w:val="0"/>
                <w:color w:val="auto"/>
                <w:kern w:val="0"/>
                <w:sz w:val="16"/>
                <w:szCs w:val="16"/>
                <w:highlight w:val="none"/>
                <w:u w:val="none"/>
                <w:lang w:val="en-US" w:eastAsia="zh-CN" w:bidi="ar"/>
              </w:rPr>
              <w:t>）</w:t>
            </w:r>
          </w:p>
        </w:tc>
        <w:tc>
          <w:tcPr>
            <w:tcW w:w="82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color w:val="auto"/>
                <w:kern w:val="0"/>
                <w:sz w:val="16"/>
                <w:szCs w:val="16"/>
                <w:highlight w:val="none"/>
                <w:u w:val="none"/>
                <w:lang w:val="en-US" w:eastAsia="zh-CN" w:bidi="ar"/>
              </w:rPr>
            </w:pPr>
            <w:r>
              <w:rPr>
                <w:rFonts w:hint="default" w:ascii="Times New Roman" w:hAnsi="Times New Roman" w:eastAsia="宋体" w:cs="Times New Roman"/>
                <w:i w:val="0"/>
                <w:color w:val="auto"/>
                <w:kern w:val="0"/>
                <w:sz w:val="16"/>
                <w:szCs w:val="16"/>
                <w:highlight w:val="none"/>
                <w:u w:val="none"/>
                <w:lang w:val="en-US" w:eastAsia="zh-CN" w:bidi="ar"/>
              </w:rPr>
              <w:t>1605642</w:t>
            </w:r>
          </w:p>
        </w:tc>
        <w:tc>
          <w:tcPr>
            <w:tcW w:w="111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color w:val="auto"/>
                <w:kern w:val="0"/>
                <w:sz w:val="16"/>
                <w:szCs w:val="16"/>
                <w:highlight w:val="none"/>
                <w:u w:val="none"/>
                <w:lang w:val="en-US" w:eastAsia="zh-CN" w:bidi="ar"/>
              </w:rPr>
            </w:pPr>
            <w:r>
              <w:rPr>
                <w:rFonts w:hint="default" w:ascii="Times New Roman" w:hAnsi="Times New Roman" w:eastAsia="宋体" w:cs="Times New Roman"/>
                <w:i w:val="0"/>
                <w:color w:val="auto"/>
                <w:kern w:val="0"/>
                <w:sz w:val="16"/>
                <w:szCs w:val="16"/>
                <w:highlight w:val="none"/>
                <w:u w:val="none"/>
                <w:lang w:val="en-US" w:eastAsia="zh-CN" w:bidi="ar"/>
              </w:rPr>
              <w:t>16四川债32</w:t>
            </w:r>
          </w:p>
        </w:tc>
        <w:tc>
          <w:tcPr>
            <w:tcW w:w="90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color w:val="auto"/>
                <w:kern w:val="0"/>
                <w:sz w:val="16"/>
                <w:szCs w:val="16"/>
                <w:highlight w:val="none"/>
                <w:u w:val="none"/>
                <w:lang w:val="en-US" w:eastAsia="zh-CN" w:bidi="ar"/>
              </w:rPr>
            </w:pPr>
            <w:r>
              <w:rPr>
                <w:rFonts w:hint="eastAsia" w:eastAsia="宋体" w:cs="Times New Roman"/>
                <w:i w:val="0"/>
                <w:color w:val="auto"/>
                <w:kern w:val="0"/>
                <w:sz w:val="16"/>
                <w:szCs w:val="16"/>
                <w:highlight w:val="none"/>
                <w:u w:val="none"/>
                <w:lang w:val="en-US" w:eastAsia="zh-CN" w:bidi="ar"/>
              </w:rPr>
              <w:t>2.87</w:t>
            </w:r>
          </w:p>
        </w:tc>
        <w:tc>
          <w:tcPr>
            <w:tcW w:w="105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color w:val="auto"/>
                <w:kern w:val="0"/>
                <w:sz w:val="16"/>
                <w:szCs w:val="16"/>
                <w:highlight w:val="none"/>
                <w:u w:val="none"/>
                <w:lang w:val="en-US" w:eastAsia="zh-CN" w:bidi="ar"/>
              </w:rPr>
            </w:pPr>
            <w:r>
              <w:rPr>
                <w:rFonts w:hint="default" w:ascii="Times New Roman" w:hAnsi="Times New Roman" w:eastAsia="宋体" w:cs="Times New Roman"/>
                <w:i w:val="0"/>
                <w:color w:val="auto"/>
                <w:kern w:val="0"/>
                <w:sz w:val="16"/>
                <w:szCs w:val="16"/>
                <w:highlight w:val="none"/>
                <w:u w:val="none"/>
                <w:lang w:val="en-US" w:eastAsia="zh-CN" w:bidi="ar"/>
              </w:rPr>
              <w:t>2026-</w:t>
            </w:r>
            <w:r>
              <w:rPr>
                <w:rFonts w:hint="eastAsia" w:eastAsia="宋体" w:cs="Times New Roman"/>
                <w:i w:val="0"/>
                <w:color w:val="auto"/>
                <w:kern w:val="0"/>
                <w:sz w:val="16"/>
                <w:szCs w:val="16"/>
                <w:highlight w:val="none"/>
                <w:u w:val="none"/>
                <w:lang w:val="en-US" w:eastAsia="zh-CN" w:bidi="ar"/>
              </w:rPr>
              <w:t>10</w:t>
            </w:r>
            <w:r>
              <w:rPr>
                <w:rFonts w:hint="default" w:ascii="Times New Roman" w:hAnsi="Times New Roman" w:eastAsia="宋体" w:cs="Times New Roman"/>
                <w:i w:val="0"/>
                <w:color w:val="auto"/>
                <w:kern w:val="0"/>
                <w:sz w:val="16"/>
                <w:szCs w:val="16"/>
                <w:highlight w:val="none"/>
                <w:u w:val="none"/>
                <w:lang w:val="en-US" w:eastAsia="zh-CN" w:bidi="ar"/>
              </w:rPr>
              <w:t>-</w:t>
            </w:r>
            <w:r>
              <w:rPr>
                <w:rFonts w:hint="eastAsia" w:eastAsia="宋体" w:cs="Times New Roman"/>
                <w:i w:val="0"/>
                <w:color w:val="auto"/>
                <w:kern w:val="0"/>
                <w:sz w:val="16"/>
                <w:szCs w:val="16"/>
                <w:highlight w:val="none"/>
                <w:u w:val="none"/>
                <w:lang w:val="en-US" w:eastAsia="zh-CN" w:bidi="ar"/>
              </w:rPr>
              <w:t>31</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color w:val="auto"/>
                <w:kern w:val="0"/>
                <w:sz w:val="16"/>
                <w:szCs w:val="16"/>
                <w:highlight w:val="none"/>
                <w:u w:val="none"/>
                <w:lang w:val="en-US" w:eastAsia="zh-CN" w:bidi="ar"/>
              </w:rPr>
            </w:pPr>
            <w:r>
              <w:rPr>
                <w:rFonts w:hint="eastAsia" w:eastAsia="宋体" w:cs="Times New Roman"/>
                <w:i w:val="0"/>
                <w:color w:val="auto"/>
                <w:kern w:val="0"/>
                <w:sz w:val="16"/>
                <w:szCs w:val="16"/>
                <w:highlight w:val="none"/>
                <w:u w:val="none"/>
                <w:lang w:val="en-US" w:eastAsia="zh-CN" w:bidi="ar"/>
              </w:rPr>
              <w:t>296753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jc w:val="center"/>
        </w:trPr>
        <w:tc>
          <w:tcPr>
            <w:tcW w:w="3500"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color w:val="auto"/>
                <w:kern w:val="0"/>
                <w:sz w:val="16"/>
                <w:szCs w:val="16"/>
                <w:highlight w:val="none"/>
                <w:u w:val="none"/>
                <w:lang w:val="en-US" w:eastAsia="zh-CN" w:bidi="ar"/>
              </w:rPr>
            </w:pPr>
            <w:r>
              <w:rPr>
                <w:rFonts w:hint="eastAsia" w:eastAsia="宋体" w:cs="Times New Roman"/>
                <w:i w:val="0"/>
                <w:color w:val="auto"/>
                <w:kern w:val="0"/>
                <w:sz w:val="16"/>
                <w:szCs w:val="16"/>
                <w:highlight w:val="none"/>
                <w:u w:val="none"/>
                <w:lang w:val="en-US" w:eastAsia="zh-CN" w:bidi="ar"/>
              </w:rPr>
              <w:t>2016年四川省政府专项债券（十六期）</w:t>
            </w:r>
          </w:p>
        </w:tc>
        <w:tc>
          <w:tcPr>
            <w:tcW w:w="825"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color w:val="auto"/>
                <w:kern w:val="0"/>
                <w:sz w:val="16"/>
                <w:szCs w:val="16"/>
                <w:highlight w:val="none"/>
                <w:u w:val="none"/>
                <w:lang w:val="en-US" w:eastAsia="zh-CN" w:bidi="ar"/>
              </w:rPr>
            </w:pPr>
            <w:r>
              <w:rPr>
                <w:rFonts w:hint="eastAsia" w:ascii="Times New Roman" w:hAnsi="Times New Roman" w:eastAsia="宋体" w:cs="Times New Roman"/>
                <w:i w:val="0"/>
                <w:color w:val="auto"/>
                <w:kern w:val="0"/>
                <w:sz w:val="16"/>
                <w:szCs w:val="16"/>
                <w:highlight w:val="none"/>
                <w:u w:val="none"/>
                <w:lang w:val="en-US" w:eastAsia="zh-CN" w:bidi="ar"/>
              </w:rPr>
              <w:t>1605646</w:t>
            </w:r>
          </w:p>
        </w:tc>
        <w:tc>
          <w:tcPr>
            <w:tcW w:w="1114"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color w:val="auto"/>
                <w:kern w:val="0"/>
                <w:sz w:val="16"/>
                <w:szCs w:val="16"/>
                <w:highlight w:val="none"/>
                <w:u w:val="none"/>
                <w:lang w:val="en-US" w:eastAsia="zh-CN" w:bidi="ar"/>
              </w:rPr>
            </w:pPr>
            <w:r>
              <w:rPr>
                <w:rFonts w:hint="default" w:ascii="Times New Roman" w:hAnsi="Times New Roman" w:eastAsia="宋体" w:cs="Times New Roman"/>
                <w:i w:val="0"/>
                <w:color w:val="auto"/>
                <w:kern w:val="0"/>
                <w:sz w:val="16"/>
                <w:szCs w:val="16"/>
                <w:highlight w:val="none"/>
                <w:u w:val="none"/>
                <w:lang w:val="en-US" w:eastAsia="zh-CN" w:bidi="ar"/>
              </w:rPr>
              <w:t>16四川债3</w:t>
            </w:r>
            <w:r>
              <w:rPr>
                <w:rFonts w:hint="eastAsia" w:eastAsia="宋体" w:cs="Times New Roman"/>
                <w:i w:val="0"/>
                <w:color w:val="auto"/>
                <w:kern w:val="0"/>
                <w:sz w:val="16"/>
                <w:szCs w:val="16"/>
                <w:highlight w:val="none"/>
                <w:u w:val="none"/>
                <w:lang w:val="en-US" w:eastAsia="zh-CN" w:bidi="ar"/>
              </w:rPr>
              <w:t>6</w:t>
            </w:r>
          </w:p>
        </w:tc>
        <w:tc>
          <w:tcPr>
            <w:tcW w:w="900"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eastAsia="宋体" w:cs="Times New Roman"/>
                <w:i w:val="0"/>
                <w:color w:val="auto"/>
                <w:kern w:val="0"/>
                <w:sz w:val="16"/>
                <w:szCs w:val="16"/>
                <w:highlight w:val="none"/>
                <w:u w:val="none"/>
                <w:lang w:val="en-US" w:eastAsia="zh-CN" w:bidi="ar"/>
              </w:rPr>
              <w:t>3.07</w:t>
            </w:r>
          </w:p>
        </w:tc>
        <w:tc>
          <w:tcPr>
            <w:tcW w:w="1057"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color w:val="auto"/>
                <w:kern w:val="0"/>
                <w:sz w:val="16"/>
                <w:szCs w:val="16"/>
                <w:highlight w:val="none"/>
                <w:u w:val="none"/>
                <w:lang w:val="en-US" w:eastAsia="zh-CN" w:bidi="ar"/>
              </w:rPr>
              <w:t>2026-</w:t>
            </w:r>
            <w:r>
              <w:rPr>
                <w:rFonts w:hint="eastAsia" w:eastAsia="宋体" w:cs="Times New Roman"/>
                <w:i w:val="0"/>
                <w:color w:val="auto"/>
                <w:kern w:val="0"/>
                <w:sz w:val="16"/>
                <w:szCs w:val="16"/>
                <w:highlight w:val="none"/>
                <w:u w:val="none"/>
                <w:lang w:val="en-US" w:eastAsia="zh-CN" w:bidi="ar"/>
              </w:rPr>
              <w:t>10</w:t>
            </w:r>
            <w:r>
              <w:rPr>
                <w:rFonts w:hint="default" w:ascii="Times New Roman" w:hAnsi="Times New Roman" w:eastAsia="宋体" w:cs="Times New Roman"/>
                <w:i w:val="0"/>
                <w:color w:val="auto"/>
                <w:kern w:val="0"/>
                <w:sz w:val="16"/>
                <w:szCs w:val="16"/>
                <w:highlight w:val="none"/>
                <w:u w:val="none"/>
                <w:lang w:val="en-US" w:eastAsia="zh-CN" w:bidi="ar"/>
              </w:rPr>
              <w:t>-</w:t>
            </w:r>
            <w:r>
              <w:rPr>
                <w:rFonts w:hint="eastAsia" w:eastAsia="宋体" w:cs="Times New Roman"/>
                <w:i w:val="0"/>
                <w:color w:val="auto"/>
                <w:kern w:val="0"/>
                <w:sz w:val="16"/>
                <w:szCs w:val="16"/>
                <w:highlight w:val="none"/>
                <w:u w:val="none"/>
                <w:lang w:val="en-US" w:eastAsia="zh-CN" w:bidi="ar"/>
              </w:rPr>
              <w:t>31</w:t>
            </w:r>
          </w:p>
        </w:tc>
        <w:tc>
          <w:tcPr>
            <w:tcW w:w="1067"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color w:val="auto"/>
                <w:kern w:val="0"/>
                <w:sz w:val="16"/>
                <w:szCs w:val="16"/>
                <w:highlight w:val="none"/>
                <w:u w:val="none"/>
                <w:lang w:val="en-US" w:eastAsia="zh-CN" w:bidi="ar"/>
              </w:rPr>
            </w:pPr>
            <w:r>
              <w:rPr>
                <w:rFonts w:hint="eastAsia" w:eastAsia="宋体" w:cs="Times New Roman"/>
                <w:i w:val="0"/>
                <w:color w:val="auto"/>
                <w:kern w:val="0"/>
                <w:sz w:val="16"/>
                <w:szCs w:val="16"/>
                <w:highlight w:val="none"/>
                <w:u w:val="none"/>
                <w:lang w:val="en-US" w:eastAsia="zh-CN" w:bidi="ar"/>
              </w:rPr>
              <w:t>59386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jc w:val="center"/>
        </w:trPr>
        <w:tc>
          <w:tcPr>
            <w:tcW w:w="3500"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color w:val="auto"/>
                <w:kern w:val="0"/>
                <w:sz w:val="16"/>
                <w:szCs w:val="16"/>
                <w:highlight w:val="none"/>
                <w:u w:val="none"/>
                <w:lang w:val="en-US" w:eastAsia="zh-CN" w:bidi="ar"/>
              </w:rPr>
            </w:pPr>
            <w:r>
              <w:rPr>
                <w:rFonts w:hint="default" w:ascii="Times New Roman" w:hAnsi="Times New Roman" w:eastAsia="宋体" w:cs="Times New Roman"/>
                <w:i w:val="0"/>
                <w:color w:val="auto"/>
                <w:kern w:val="0"/>
                <w:sz w:val="16"/>
                <w:szCs w:val="16"/>
                <w:highlight w:val="none"/>
                <w:u w:val="none"/>
                <w:lang w:val="en-US" w:eastAsia="zh-CN" w:bidi="ar"/>
              </w:rPr>
              <w:t>20</w:t>
            </w:r>
            <w:r>
              <w:rPr>
                <w:rFonts w:hint="eastAsia" w:eastAsia="宋体" w:cs="Times New Roman"/>
                <w:i w:val="0"/>
                <w:color w:val="auto"/>
                <w:kern w:val="0"/>
                <w:sz w:val="16"/>
                <w:szCs w:val="16"/>
                <w:highlight w:val="none"/>
                <w:u w:val="none"/>
                <w:lang w:val="en-US" w:eastAsia="zh-CN" w:bidi="ar"/>
              </w:rPr>
              <w:t>21</w:t>
            </w:r>
            <w:r>
              <w:rPr>
                <w:rFonts w:hint="default" w:ascii="Times New Roman" w:hAnsi="Times New Roman" w:eastAsia="宋体" w:cs="Times New Roman"/>
                <w:i w:val="0"/>
                <w:color w:val="auto"/>
                <w:kern w:val="0"/>
                <w:sz w:val="16"/>
                <w:szCs w:val="16"/>
                <w:highlight w:val="none"/>
                <w:u w:val="none"/>
                <w:lang w:val="en-US" w:eastAsia="zh-CN" w:bidi="ar"/>
              </w:rPr>
              <w:t>年四川省城乡基础设施建设专项债券</w:t>
            </w:r>
            <w:r>
              <w:rPr>
                <w:rFonts w:hint="eastAsia" w:eastAsia="宋体" w:cs="Times New Roman"/>
                <w:i w:val="0"/>
                <w:color w:val="auto"/>
                <w:kern w:val="0"/>
                <w:sz w:val="16"/>
                <w:szCs w:val="16"/>
                <w:highlight w:val="none"/>
                <w:u w:val="none"/>
                <w:lang w:val="en-US" w:eastAsia="zh-CN" w:bidi="ar"/>
              </w:rPr>
              <w:t>（十三期）-</w:t>
            </w:r>
            <w:r>
              <w:rPr>
                <w:rFonts w:hint="default" w:ascii="Times New Roman" w:hAnsi="Times New Roman" w:eastAsia="宋体" w:cs="Times New Roman"/>
                <w:i w:val="0"/>
                <w:color w:val="auto"/>
                <w:kern w:val="0"/>
                <w:sz w:val="16"/>
                <w:szCs w:val="16"/>
                <w:highlight w:val="none"/>
                <w:u w:val="none"/>
                <w:lang w:val="en-US" w:eastAsia="zh-CN" w:bidi="ar"/>
              </w:rPr>
              <w:t>20</w:t>
            </w:r>
            <w:r>
              <w:rPr>
                <w:rFonts w:hint="eastAsia" w:eastAsia="宋体" w:cs="Times New Roman"/>
                <w:i w:val="0"/>
                <w:color w:val="auto"/>
                <w:kern w:val="0"/>
                <w:sz w:val="16"/>
                <w:szCs w:val="16"/>
                <w:highlight w:val="none"/>
                <w:u w:val="none"/>
                <w:lang w:val="en-US" w:eastAsia="zh-CN" w:bidi="ar"/>
              </w:rPr>
              <w:t>21</w:t>
            </w:r>
            <w:r>
              <w:rPr>
                <w:rFonts w:hint="default" w:ascii="Times New Roman" w:hAnsi="Times New Roman" w:eastAsia="宋体" w:cs="Times New Roman"/>
                <w:i w:val="0"/>
                <w:color w:val="auto"/>
                <w:kern w:val="0"/>
                <w:sz w:val="16"/>
                <w:szCs w:val="16"/>
                <w:highlight w:val="none"/>
                <w:u w:val="none"/>
                <w:lang w:val="en-US" w:eastAsia="zh-CN" w:bidi="ar"/>
              </w:rPr>
              <w:t>年四川省政府专项债券（</w:t>
            </w:r>
            <w:r>
              <w:rPr>
                <w:rFonts w:hint="eastAsia" w:eastAsia="宋体" w:cs="Times New Roman"/>
                <w:i w:val="0"/>
                <w:color w:val="auto"/>
                <w:kern w:val="0"/>
                <w:sz w:val="16"/>
                <w:szCs w:val="16"/>
                <w:highlight w:val="none"/>
                <w:u w:val="none"/>
                <w:lang w:val="en-US" w:eastAsia="zh-CN" w:bidi="ar"/>
              </w:rPr>
              <w:t>五十一</w:t>
            </w:r>
            <w:r>
              <w:rPr>
                <w:rFonts w:hint="default" w:ascii="Times New Roman" w:hAnsi="Times New Roman" w:eastAsia="宋体" w:cs="Times New Roman"/>
                <w:i w:val="0"/>
                <w:color w:val="auto"/>
                <w:kern w:val="0"/>
                <w:sz w:val="16"/>
                <w:szCs w:val="16"/>
                <w:highlight w:val="none"/>
                <w:u w:val="none"/>
                <w:lang w:val="en-US" w:eastAsia="zh-CN" w:bidi="ar"/>
              </w:rPr>
              <w:t>期）</w:t>
            </w:r>
          </w:p>
        </w:tc>
        <w:tc>
          <w:tcPr>
            <w:tcW w:w="825"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color w:val="auto"/>
                <w:kern w:val="0"/>
                <w:sz w:val="16"/>
                <w:szCs w:val="16"/>
                <w:highlight w:val="none"/>
                <w:u w:val="none"/>
                <w:lang w:val="en-US" w:eastAsia="zh-CN" w:bidi="ar"/>
              </w:rPr>
            </w:pPr>
            <w:r>
              <w:rPr>
                <w:rFonts w:hint="eastAsia" w:ascii="Times New Roman" w:hAnsi="Times New Roman" w:eastAsia="宋体" w:cs="Times New Roman"/>
                <w:i w:val="0"/>
                <w:color w:val="auto"/>
                <w:kern w:val="0"/>
                <w:sz w:val="16"/>
                <w:szCs w:val="16"/>
                <w:highlight w:val="none"/>
                <w:u w:val="none"/>
                <w:lang w:val="en-US" w:eastAsia="zh-CN" w:bidi="ar"/>
              </w:rPr>
              <w:t>2171196</w:t>
            </w:r>
          </w:p>
        </w:tc>
        <w:tc>
          <w:tcPr>
            <w:tcW w:w="1114"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color w:val="auto"/>
                <w:kern w:val="0"/>
                <w:sz w:val="16"/>
                <w:szCs w:val="16"/>
                <w:highlight w:val="none"/>
                <w:u w:val="none"/>
                <w:lang w:val="en-US" w:eastAsia="zh-CN" w:bidi="ar"/>
              </w:rPr>
            </w:pPr>
            <w:r>
              <w:rPr>
                <w:rFonts w:hint="eastAsia" w:ascii="Times New Roman" w:hAnsi="Times New Roman" w:eastAsia="宋体" w:cs="Times New Roman"/>
                <w:i w:val="0"/>
                <w:color w:val="auto"/>
                <w:kern w:val="0"/>
                <w:sz w:val="16"/>
                <w:szCs w:val="16"/>
                <w:highlight w:val="none"/>
                <w:u w:val="none"/>
                <w:lang w:val="en-US" w:eastAsia="zh-CN" w:bidi="ar"/>
              </w:rPr>
              <w:t>21四川债71</w:t>
            </w:r>
          </w:p>
        </w:tc>
        <w:tc>
          <w:tcPr>
            <w:tcW w:w="900"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color w:val="auto"/>
                <w:kern w:val="0"/>
                <w:sz w:val="16"/>
                <w:szCs w:val="16"/>
                <w:highlight w:val="none"/>
                <w:u w:val="none"/>
                <w:lang w:val="en-US" w:eastAsia="zh-CN" w:bidi="ar"/>
              </w:rPr>
            </w:pPr>
            <w:r>
              <w:rPr>
                <w:rFonts w:hint="eastAsia" w:eastAsia="宋体" w:cs="Times New Roman"/>
                <w:i w:val="0"/>
                <w:color w:val="auto"/>
                <w:kern w:val="0"/>
                <w:sz w:val="16"/>
                <w:szCs w:val="16"/>
                <w:highlight w:val="none"/>
                <w:u w:val="none"/>
                <w:lang w:val="en-US" w:eastAsia="zh-CN" w:bidi="ar"/>
              </w:rPr>
              <w:t>3.02</w:t>
            </w:r>
          </w:p>
        </w:tc>
        <w:tc>
          <w:tcPr>
            <w:tcW w:w="1057"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color w:val="auto"/>
                <w:kern w:val="0"/>
                <w:sz w:val="16"/>
                <w:szCs w:val="16"/>
                <w:highlight w:val="none"/>
                <w:u w:val="none"/>
                <w:lang w:val="en-US" w:eastAsia="zh-CN" w:bidi="ar"/>
              </w:rPr>
            </w:pPr>
            <w:r>
              <w:rPr>
                <w:rFonts w:hint="default" w:ascii="Times New Roman" w:hAnsi="Times New Roman" w:eastAsia="宋体" w:cs="Times New Roman"/>
                <w:i w:val="0"/>
                <w:color w:val="auto"/>
                <w:kern w:val="0"/>
                <w:sz w:val="16"/>
                <w:szCs w:val="16"/>
                <w:highlight w:val="none"/>
                <w:u w:val="none"/>
                <w:lang w:val="en-US" w:eastAsia="zh-CN" w:bidi="ar"/>
              </w:rPr>
              <w:t>2026-</w:t>
            </w:r>
            <w:r>
              <w:rPr>
                <w:rFonts w:hint="eastAsia" w:eastAsia="宋体" w:cs="Times New Roman"/>
                <w:i w:val="0"/>
                <w:color w:val="auto"/>
                <w:kern w:val="0"/>
                <w:sz w:val="16"/>
                <w:szCs w:val="16"/>
                <w:highlight w:val="none"/>
                <w:u w:val="none"/>
                <w:lang w:val="en-US" w:eastAsia="zh-CN" w:bidi="ar"/>
              </w:rPr>
              <w:t>11</w:t>
            </w:r>
            <w:r>
              <w:rPr>
                <w:rFonts w:hint="default" w:ascii="Times New Roman" w:hAnsi="Times New Roman" w:eastAsia="宋体" w:cs="Times New Roman"/>
                <w:i w:val="0"/>
                <w:color w:val="auto"/>
                <w:kern w:val="0"/>
                <w:sz w:val="16"/>
                <w:szCs w:val="16"/>
                <w:highlight w:val="none"/>
                <w:u w:val="none"/>
                <w:lang w:val="en-US" w:eastAsia="zh-CN" w:bidi="ar"/>
              </w:rPr>
              <w:t>-</w:t>
            </w:r>
            <w:r>
              <w:rPr>
                <w:rFonts w:hint="eastAsia" w:eastAsia="宋体" w:cs="Times New Roman"/>
                <w:i w:val="0"/>
                <w:color w:val="auto"/>
                <w:kern w:val="0"/>
                <w:sz w:val="16"/>
                <w:szCs w:val="16"/>
                <w:highlight w:val="none"/>
                <w:u w:val="none"/>
                <w:lang w:val="en-US" w:eastAsia="zh-CN" w:bidi="ar"/>
              </w:rPr>
              <w:t>10</w:t>
            </w:r>
          </w:p>
        </w:tc>
        <w:tc>
          <w:tcPr>
            <w:tcW w:w="1067"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color w:val="auto"/>
                <w:kern w:val="0"/>
                <w:sz w:val="16"/>
                <w:szCs w:val="16"/>
                <w:highlight w:val="none"/>
                <w:u w:val="none"/>
                <w:lang w:val="en-US" w:eastAsia="zh-CN" w:bidi="ar"/>
              </w:rPr>
            </w:pPr>
            <w:r>
              <w:rPr>
                <w:rFonts w:hint="eastAsia" w:eastAsia="宋体" w:cs="Times New Roman"/>
                <w:i w:val="0"/>
                <w:color w:val="auto"/>
                <w:kern w:val="0"/>
                <w:sz w:val="16"/>
                <w:szCs w:val="16"/>
                <w:highlight w:val="none"/>
                <w:u w:val="none"/>
                <w:lang w:val="en-US" w:eastAsia="zh-CN" w:bidi="ar"/>
              </w:rPr>
              <w:t>29355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jc w:val="center"/>
        </w:trPr>
        <w:tc>
          <w:tcPr>
            <w:tcW w:w="350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color w:val="auto"/>
                <w:kern w:val="0"/>
                <w:sz w:val="16"/>
                <w:szCs w:val="16"/>
                <w:highlight w:val="none"/>
                <w:u w:val="none"/>
                <w:lang w:val="en-US" w:eastAsia="zh-CN" w:bidi="ar"/>
              </w:rPr>
            </w:pPr>
            <w:r>
              <w:rPr>
                <w:rFonts w:hint="default" w:ascii="Times New Roman" w:hAnsi="Times New Roman" w:eastAsia="宋体" w:cs="Times New Roman"/>
                <w:i w:val="0"/>
                <w:color w:val="auto"/>
                <w:kern w:val="0"/>
                <w:sz w:val="16"/>
                <w:szCs w:val="16"/>
                <w:highlight w:val="none"/>
                <w:u w:val="none"/>
                <w:lang w:val="en-US" w:eastAsia="zh-CN" w:bidi="ar"/>
              </w:rPr>
              <w:t>20</w:t>
            </w:r>
            <w:r>
              <w:rPr>
                <w:rFonts w:hint="eastAsia" w:ascii="Times New Roman" w:hAnsi="Times New Roman" w:eastAsia="宋体" w:cs="Times New Roman"/>
                <w:i w:val="0"/>
                <w:color w:val="auto"/>
                <w:kern w:val="0"/>
                <w:sz w:val="16"/>
                <w:szCs w:val="16"/>
                <w:highlight w:val="none"/>
                <w:u w:val="none"/>
                <w:lang w:val="en-US" w:eastAsia="zh-CN" w:bidi="ar"/>
              </w:rPr>
              <w:t>21</w:t>
            </w:r>
            <w:r>
              <w:rPr>
                <w:rFonts w:hint="default" w:ascii="Times New Roman" w:hAnsi="Times New Roman" w:eastAsia="宋体" w:cs="Times New Roman"/>
                <w:i w:val="0"/>
                <w:color w:val="auto"/>
                <w:kern w:val="0"/>
                <w:sz w:val="16"/>
                <w:szCs w:val="16"/>
                <w:highlight w:val="none"/>
                <w:u w:val="none"/>
                <w:lang w:val="en-US" w:eastAsia="zh-CN" w:bidi="ar"/>
              </w:rPr>
              <w:t>年四川省棚户区改造专项债券（</w:t>
            </w:r>
            <w:r>
              <w:rPr>
                <w:rFonts w:hint="eastAsia" w:eastAsia="宋体" w:cs="Times New Roman"/>
                <w:i w:val="0"/>
                <w:color w:val="auto"/>
                <w:kern w:val="0"/>
                <w:sz w:val="16"/>
                <w:szCs w:val="16"/>
                <w:highlight w:val="none"/>
                <w:u w:val="none"/>
                <w:lang w:val="en-US" w:eastAsia="zh-CN" w:bidi="ar"/>
              </w:rPr>
              <w:t>六</w:t>
            </w:r>
            <w:r>
              <w:rPr>
                <w:rFonts w:hint="default" w:ascii="Times New Roman" w:hAnsi="Times New Roman" w:eastAsia="宋体" w:cs="Times New Roman"/>
                <w:i w:val="0"/>
                <w:color w:val="auto"/>
                <w:kern w:val="0"/>
                <w:sz w:val="16"/>
                <w:szCs w:val="16"/>
                <w:highlight w:val="none"/>
                <w:u w:val="none"/>
                <w:lang w:val="en-US" w:eastAsia="zh-CN" w:bidi="ar"/>
              </w:rPr>
              <w:t>期）-20</w:t>
            </w:r>
            <w:r>
              <w:rPr>
                <w:rFonts w:hint="eastAsia" w:ascii="Times New Roman" w:hAnsi="Times New Roman" w:eastAsia="宋体" w:cs="Times New Roman"/>
                <w:i w:val="0"/>
                <w:color w:val="auto"/>
                <w:kern w:val="0"/>
                <w:sz w:val="16"/>
                <w:szCs w:val="16"/>
                <w:highlight w:val="none"/>
                <w:u w:val="none"/>
                <w:lang w:val="en-US" w:eastAsia="zh-CN" w:bidi="ar"/>
              </w:rPr>
              <w:t>21</w:t>
            </w:r>
            <w:r>
              <w:rPr>
                <w:rFonts w:hint="default" w:ascii="Times New Roman" w:hAnsi="Times New Roman" w:eastAsia="宋体" w:cs="Times New Roman"/>
                <w:i w:val="0"/>
                <w:color w:val="auto"/>
                <w:kern w:val="0"/>
                <w:sz w:val="16"/>
                <w:szCs w:val="16"/>
                <w:highlight w:val="none"/>
                <w:u w:val="none"/>
                <w:lang w:val="en-US" w:eastAsia="zh-CN" w:bidi="ar"/>
              </w:rPr>
              <w:t>年四川省政府专项债券（</w:t>
            </w:r>
            <w:r>
              <w:rPr>
                <w:rFonts w:hint="eastAsia" w:eastAsia="宋体" w:cs="Times New Roman"/>
                <w:i w:val="0"/>
                <w:color w:val="auto"/>
                <w:kern w:val="0"/>
                <w:sz w:val="16"/>
                <w:szCs w:val="16"/>
                <w:highlight w:val="none"/>
                <w:u w:val="none"/>
                <w:lang w:val="en-US" w:eastAsia="zh-CN" w:bidi="ar"/>
              </w:rPr>
              <w:t>三十五</w:t>
            </w:r>
            <w:r>
              <w:rPr>
                <w:rFonts w:hint="default" w:ascii="Times New Roman" w:hAnsi="Times New Roman" w:eastAsia="宋体" w:cs="Times New Roman"/>
                <w:i w:val="0"/>
                <w:color w:val="auto"/>
                <w:kern w:val="0"/>
                <w:sz w:val="16"/>
                <w:szCs w:val="16"/>
                <w:highlight w:val="none"/>
                <w:u w:val="none"/>
                <w:lang w:val="en-US" w:eastAsia="zh-CN" w:bidi="ar"/>
              </w:rPr>
              <w:t>期）</w:t>
            </w:r>
          </w:p>
        </w:tc>
        <w:tc>
          <w:tcPr>
            <w:tcW w:w="82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eastAsia="宋体" w:cs="Times New Roman"/>
                <w:i w:val="0"/>
                <w:color w:val="auto"/>
                <w:kern w:val="0"/>
                <w:sz w:val="16"/>
                <w:szCs w:val="16"/>
                <w:highlight w:val="none"/>
                <w:u w:val="none"/>
                <w:lang w:val="en-US" w:eastAsia="zh-CN" w:bidi="ar"/>
              </w:rPr>
            </w:pPr>
            <w:r>
              <w:rPr>
                <w:rFonts w:hint="eastAsia" w:eastAsia="宋体" w:cs="Times New Roman"/>
                <w:i w:val="0"/>
                <w:color w:val="auto"/>
                <w:kern w:val="0"/>
                <w:sz w:val="16"/>
                <w:szCs w:val="16"/>
                <w:highlight w:val="none"/>
                <w:u w:val="none"/>
                <w:lang w:val="en-US" w:eastAsia="zh-CN" w:bidi="ar"/>
              </w:rPr>
              <w:t>2171180</w:t>
            </w:r>
          </w:p>
        </w:tc>
        <w:tc>
          <w:tcPr>
            <w:tcW w:w="111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eastAsia="宋体" w:cs="Times New Roman"/>
                <w:i w:val="0"/>
                <w:color w:val="auto"/>
                <w:kern w:val="0"/>
                <w:sz w:val="16"/>
                <w:szCs w:val="16"/>
                <w:highlight w:val="none"/>
                <w:u w:val="none"/>
                <w:lang w:val="en-US" w:eastAsia="zh-CN" w:bidi="ar"/>
              </w:rPr>
            </w:pPr>
            <w:r>
              <w:rPr>
                <w:rFonts w:hint="eastAsia" w:eastAsia="宋体" w:cs="Times New Roman"/>
                <w:i w:val="0"/>
                <w:color w:val="auto"/>
                <w:kern w:val="0"/>
                <w:sz w:val="16"/>
                <w:szCs w:val="16"/>
                <w:highlight w:val="none"/>
                <w:u w:val="none"/>
                <w:lang w:val="en-US" w:eastAsia="zh-CN" w:bidi="ar"/>
              </w:rPr>
              <w:t>21四川债55</w:t>
            </w:r>
          </w:p>
        </w:tc>
        <w:tc>
          <w:tcPr>
            <w:tcW w:w="90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eastAsia="宋体" w:cs="Times New Roman"/>
                <w:i w:val="0"/>
                <w:color w:val="auto"/>
                <w:kern w:val="0"/>
                <w:sz w:val="16"/>
                <w:szCs w:val="16"/>
                <w:highlight w:val="none"/>
                <w:u w:val="none"/>
                <w:lang w:val="en-US" w:eastAsia="zh-CN" w:bidi="ar"/>
              </w:rPr>
            </w:pPr>
            <w:r>
              <w:rPr>
                <w:rFonts w:hint="eastAsia" w:eastAsia="宋体" w:cs="Times New Roman"/>
                <w:i w:val="0"/>
                <w:color w:val="auto"/>
                <w:kern w:val="0"/>
                <w:sz w:val="16"/>
                <w:szCs w:val="16"/>
                <w:highlight w:val="none"/>
                <w:u w:val="none"/>
                <w:lang w:val="en-US" w:eastAsia="zh-CN" w:bidi="ar"/>
              </w:rPr>
              <w:t>3.02</w:t>
            </w:r>
          </w:p>
        </w:tc>
        <w:tc>
          <w:tcPr>
            <w:tcW w:w="105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color w:val="auto"/>
                <w:kern w:val="0"/>
                <w:sz w:val="16"/>
                <w:szCs w:val="16"/>
                <w:highlight w:val="none"/>
                <w:u w:val="none"/>
                <w:lang w:val="en-US" w:eastAsia="zh-CN" w:bidi="ar"/>
              </w:rPr>
            </w:pPr>
            <w:r>
              <w:rPr>
                <w:rFonts w:hint="default" w:ascii="Times New Roman" w:hAnsi="Times New Roman" w:eastAsia="宋体" w:cs="Times New Roman"/>
                <w:i w:val="0"/>
                <w:color w:val="auto"/>
                <w:kern w:val="0"/>
                <w:sz w:val="16"/>
                <w:szCs w:val="16"/>
                <w:highlight w:val="none"/>
                <w:u w:val="none"/>
                <w:lang w:val="en-US" w:eastAsia="zh-CN" w:bidi="ar"/>
              </w:rPr>
              <w:t>2026-</w:t>
            </w:r>
            <w:r>
              <w:rPr>
                <w:rFonts w:hint="eastAsia" w:eastAsia="宋体" w:cs="Times New Roman"/>
                <w:i w:val="0"/>
                <w:color w:val="auto"/>
                <w:kern w:val="0"/>
                <w:sz w:val="16"/>
                <w:szCs w:val="16"/>
                <w:highlight w:val="none"/>
                <w:u w:val="none"/>
                <w:lang w:val="en-US" w:eastAsia="zh-CN" w:bidi="ar"/>
              </w:rPr>
              <w:t>11</w:t>
            </w:r>
            <w:r>
              <w:rPr>
                <w:rFonts w:hint="default" w:ascii="Times New Roman" w:hAnsi="Times New Roman" w:eastAsia="宋体" w:cs="Times New Roman"/>
                <w:i w:val="0"/>
                <w:color w:val="auto"/>
                <w:kern w:val="0"/>
                <w:sz w:val="16"/>
                <w:szCs w:val="16"/>
                <w:highlight w:val="none"/>
                <w:u w:val="none"/>
                <w:lang w:val="en-US" w:eastAsia="zh-CN" w:bidi="ar"/>
              </w:rPr>
              <w:t>-</w:t>
            </w:r>
            <w:r>
              <w:rPr>
                <w:rFonts w:hint="eastAsia" w:eastAsia="宋体" w:cs="Times New Roman"/>
                <w:i w:val="0"/>
                <w:color w:val="auto"/>
                <w:kern w:val="0"/>
                <w:sz w:val="16"/>
                <w:szCs w:val="16"/>
                <w:highlight w:val="none"/>
                <w:u w:val="none"/>
                <w:lang w:val="en-US" w:eastAsia="zh-CN" w:bidi="ar"/>
              </w:rPr>
              <w:t>10</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eastAsia="宋体" w:cs="Times New Roman"/>
                <w:i w:val="0"/>
                <w:color w:val="auto"/>
                <w:kern w:val="0"/>
                <w:sz w:val="16"/>
                <w:szCs w:val="16"/>
                <w:highlight w:val="none"/>
                <w:u w:val="none"/>
                <w:lang w:val="en-US" w:eastAsia="zh-CN" w:bidi="ar"/>
              </w:rPr>
            </w:pPr>
            <w:r>
              <w:rPr>
                <w:rFonts w:hint="eastAsia" w:eastAsia="宋体" w:cs="Times New Roman"/>
                <w:i w:val="0"/>
                <w:color w:val="auto"/>
                <w:kern w:val="0"/>
                <w:sz w:val="16"/>
                <w:szCs w:val="16"/>
                <w:highlight w:val="none"/>
                <w:u w:val="none"/>
                <w:lang w:val="en-US" w:eastAsia="zh-CN" w:bidi="ar"/>
              </w:rPr>
              <w:t>150770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jc w:val="center"/>
        </w:trPr>
        <w:tc>
          <w:tcPr>
            <w:tcW w:w="350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color w:val="auto"/>
                <w:kern w:val="0"/>
                <w:sz w:val="16"/>
                <w:szCs w:val="16"/>
                <w:highlight w:val="none"/>
                <w:u w:val="none"/>
                <w:lang w:val="en-US" w:eastAsia="zh-CN" w:bidi="ar"/>
              </w:rPr>
            </w:pPr>
            <w:r>
              <w:rPr>
                <w:rFonts w:hint="eastAsia" w:eastAsia="宋体" w:cs="Times New Roman"/>
                <w:i w:val="0"/>
                <w:color w:val="auto"/>
                <w:kern w:val="0"/>
                <w:sz w:val="16"/>
                <w:szCs w:val="16"/>
                <w:highlight w:val="none"/>
                <w:u w:val="none"/>
                <w:lang w:val="en-US" w:eastAsia="zh-CN" w:bidi="ar"/>
              </w:rPr>
              <w:t>2021年四川省社会事业专项债券（八期）-2021年四川省政府专项债券（四十五期）</w:t>
            </w:r>
          </w:p>
        </w:tc>
        <w:tc>
          <w:tcPr>
            <w:tcW w:w="82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eastAsia="宋体" w:cs="Times New Roman"/>
                <w:i w:val="0"/>
                <w:color w:val="auto"/>
                <w:kern w:val="0"/>
                <w:sz w:val="16"/>
                <w:szCs w:val="16"/>
                <w:highlight w:val="none"/>
                <w:u w:val="none"/>
                <w:lang w:val="en-US" w:eastAsia="zh-CN" w:bidi="ar"/>
              </w:rPr>
            </w:pPr>
            <w:r>
              <w:rPr>
                <w:rFonts w:hint="eastAsia" w:eastAsia="宋体" w:cs="Times New Roman"/>
                <w:i w:val="0"/>
                <w:color w:val="auto"/>
                <w:kern w:val="0"/>
                <w:sz w:val="16"/>
                <w:szCs w:val="16"/>
                <w:highlight w:val="none"/>
                <w:u w:val="none"/>
                <w:lang w:val="en-US" w:eastAsia="zh-CN" w:bidi="ar"/>
              </w:rPr>
              <w:t>2171190</w:t>
            </w:r>
          </w:p>
        </w:tc>
        <w:tc>
          <w:tcPr>
            <w:tcW w:w="111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eastAsia="宋体" w:cs="Times New Roman"/>
                <w:i w:val="0"/>
                <w:color w:val="auto"/>
                <w:kern w:val="0"/>
                <w:sz w:val="16"/>
                <w:szCs w:val="16"/>
                <w:highlight w:val="none"/>
                <w:u w:val="none"/>
                <w:lang w:val="en-US" w:eastAsia="zh-CN" w:bidi="ar"/>
              </w:rPr>
            </w:pPr>
            <w:r>
              <w:rPr>
                <w:rFonts w:hint="eastAsia" w:eastAsia="宋体" w:cs="Times New Roman"/>
                <w:i w:val="0"/>
                <w:color w:val="auto"/>
                <w:kern w:val="0"/>
                <w:sz w:val="16"/>
                <w:szCs w:val="16"/>
                <w:highlight w:val="none"/>
                <w:u w:val="none"/>
                <w:lang w:val="en-US" w:eastAsia="zh-CN" w:bidi="ar"/>
              </w:rPr>
              <w:t>21四川债65</w:t>
            </w:r>
          </w:p>
        </w:tc>
        <w:tc>
          <w:tcPr>
            <w:tcW w:w="90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eastAsia="宋体" w:cs="Times New Roman"/>
                <w:i w:val="0"/>
                <w:color w:val="auto"/>
                <w:kern w:val="0"/>
                <w:sz w:val="16"/>
                <w:szCs w:val="16"/>
                <w:highlight w:val="none"/>
                <w:u w:val="none"/>
                <w:lang w:val="en-US" w:eastAsia="zh-CN" w:bidi="ar"/>
              </w:rPr>
            </w:pPr>
            <w:r>
              <w:rPr>
                <w:rFonts w:hint="eastAsia" w:eastAsia="宋体" w:cs="Times New Roman"/>
                <w:i w:val="0"/>
                <w:color w:val="auto"/>
                <w:kern w:val="0"/>
                <w:sz w:val="16"/>
                <w:szCs w:val="16"/>
                <w:highlight w:val="none"/>
                <w:u w:val="none"/>
                <w:lang w:val="en-US" w:eastAsia="zh-CN" w:bidi="ar"/>
              </w:rPr>
              <w:t>3.02</w:t>
            </w:r>
          </w:p>
        </w:tc>
        <w:tc>
          <w:tcPr>
            <w:tcW w:w="105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color w:val="auto"/>
                <w:kern w:val="0"/>
                <w:sz w:val="16"/>
                <w:szCs w:val="16"/>
                <w:highlight w:val="none"/>
                <w:u w:val="none"/>
                <w:lang w:val="en-US" w:eastAsia="zh-CN" w:bidi="ar"/>
              </w:rPr>
            </w:pPr>
            <w:r>
              <w:rPr>
                <w:rFonts w:hint="default" w:ascii="Times New Roman" w:hAnsi="Times New Roman" w:eastAsia="宋体" w:cs="Times New Roman"/>
                <w:i w:val="0"/>
                <w:color w:val="auto"/>
                <w:kern w:val="0"/>
                <w:sz w:val="16"/>
                <w:szCs w:val="16"/>
                <w:highlight w:val="none"/>
                <w:u w:val="none"/>
                <w:lang w:val="en-US" w:eastAsia="zh-CN" w:bidi="ar"/>
              </w:rPr>
              <w:t>2026-</w:t>
            </w:r>
            <w:r>
              <w:rPr>
                <w:rFonts w:hint="eastAsia" w:eastAsia="宋体" w:cs="Times New Roman"/>
                <w:i w:val="0"/>
                <w:color w:val="auto"/>
                <w:kern w:val="0"/>
                <w:sz w:val="16"/>
                <w:szCs w:val="16"/>
                <w:highlight w:val="none"/>
                <w:u w:val="none"/>
                <w:lang w:val="en-US" w:eastAsia="zh-CN" w:bidi="ar"/>
              </w:rPr>
              <w:t>11</w:t>
            </w:r>
            <w:r>
              <w:rPr>
                <w:rFonts w:hint="default" w:ascii="Times New Roman" w:hAnsi="Times New Roman" w:eastAsia="宋体" w:cs="Times New Roman"/>
                <w:i w:val="0"/>
                <w:color w:val="auto"/>
                <w:kern w:val="0"/>
                <w:sz w:val="16"/>
                <w:szCs w:val="16"/>
                <w:highlight w:val="none"/>
                <w:u w:val="none"/>
                <w:lang w:val="en-US" w:eastAsia="zh-CN" w:bidi="ar"/>
              </w:rPr>
              <w:t>-</w:t>
            </w:r>
            <w:r>
              <w:rPr>
                <w:rFonts w:hint="eastAsia" w:eastAsia="宋体" w:cs="Times New Roman"/>
                <w:i w:val="0"/>
                <w:color w:val="auto"/>
                <w:kern w:val="0"/>
                <w:sz w:val="16"/>
                <w:szCs w:val="16"/>
                <w:highlight w:val="none"/>
                <w:u w:val="none"/>
                <w:lang w:val="en-US" w:eastAsia="zh-CN" w:bidi="ar"/>
              </w:rPr>
              <w:t>10</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eastAsia="宋体" w:cs="Times New Roman"/>
                <w:i w:val="0"/>
                <w:color w:val="auto"/>
                <w:kern w:val="0"/>
                <w:sz w:val="16"/>
                <w:szCs w:val="16"/>
                <w:highlight w:val="none"/>
                <w:u w:val="none"/>
                <w:lang w:val="en-US" w:eastAsia="zh-CN" w:bidi="ar"/>
              </w:rPr>
            </w:pPr>
            <w:r>
              <w:rPr>
                <w:rFonts w:hint="eastAsia" w:eastAsia="宋体" w:cs="Times New Roman"/>
                <w:i w:val="0"/>
                <w:color w:val="auto"/>
                <w:kern w:val="0"/>
                <w:sz w:val="16"/>
                <w:szCs w:val="16"/>
                <w:highlight w:val="none"/>
                <w:u w:val="none"/>
                <w:lang w:val="en-US" w:eastAsia="zh-CN" w:bidi="ar"/>
              </w:rPr>
              <w:t>7948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jc w:val="center"/>
        </w:trPr>
        <w:tc>
          <w:tcPr>
            <w:tcW w:w="350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color w:val="auto"/>
                <w:kern w:val="0"/>
                <w:sz w:val="16"/>
                <w:szCs w:val="16"/>
                <w:highlight w:val="none"/>
                <w:u w:val="none"/>
                <w:lang w:val="en-US" w:eastAsia="zh-CN" w:bidi="ar"/>
              </w:rPr>
            </w:pPr>
            <w:r>
              <w:rPr>
                <w:rFonts w:hint="eastAsia" w:eastAsia="宋体" w:cs="Times New Roman"/>
                <w:i w:val="0"/>
                <w:color w:val="auto"/>
                <w:kern w:val="0"/>
                <w:sz w:val="16"/>
                <w:szCs w:val="16"/>
                <w:highlight w:val="none"/>
                <w:u w:val="none"/>
                <w:lang w:val="en-US" w:eastAsia="zh-CN" w:bidi="ar"/>
              </w:rPr>
              <w:t>2021</w:t>
            </w:r>
            <w:r>
              <w:rPr>
                <w:rFonts w:hint="default" w:ascii="Times New Roman" w:hAnsi="Times New Roman" w:eastAsia="宋体" w:cs="Times New Roman"/>
                <w:i w:val="0"/>
                <w:color w:val="auto"/>
                <w:kern w:val="0"/>
                <w:sz w:val="16"/>
                <w:szCs w:val="16"/>
                <w:highlight w:val="none"/>
                <w:u w:val="none"/>
                <w:lang w:val="en-US" w:eastAsia="zh-CN" w:bidi="ar"/>
              </w:rPr>
              <w:t>年四川省乡村振兴专项债券（</w:t>
            </w:r>
            <w:r>
              <w:rPr>
                <w:rFonts w:hint="eastAsia" w:eastAsia="宋体" w:cs="Times New Roman"/>
                <w:i w:val="0"/>
                <w:color w:val="auto"/>
                <w:kern w:val="0"/>
                <w:sz w:val="16"/>
                <w:szCs w:val="16"/>
                <w:highlight w:val="none"/>
                <w:u w:val="none"/>
                <w:lang w:val="en-US" w:eastAsia="zh-CN" w:bidi="ar"/>
              </w:rPr>
              <w:t>六</w:t>
            </w:r>
            <w:r>
              <w:rPr>
                <w:rFonts w:hint="default" w:ascii="Times New Roman" w:hAnsi="Times New Roman" w:eastAsia="宋体" w:cs="Times New Roman"/>
                <w:i w:val="0"/>
                <w:color w:val="auto"/>
                <w:kern w:val="0"/>
                <w:sz w:val="16"/>
                <w:szCs w:val="16"/>
                <w:highlight w:val="none"/>
                <w:u w:val="none"/>
                <w:lang w:val="en-US" w:eastAsia="zh-CN" w:bidi="ar"/>
              </w:rPr>
              <w:t>期）-20</w:t>
            </w:r>
            <w:r>
              <w:rPr>
                <w:rFonts w:hint="eastAsia" w:ascii="Times New Roman" w:hAnsi="Times New Roman" w:eastAsia="宋体" w:cs="Times New Roman"/>
                <w:i w:val="0"/>
                <w:color w:val="auto"/>
                <w:kern w:val="0"/>
                <w:sz w:val="16"/>
                <w:szCs w:val="16"/>
                <w:highlight w:val="none"/>
                <w:u w:val="none"/>
                <w:lang w:val="en-US" w:eastAsia="zh-CN" w:bidi="ar"/>
              </w:rPr>
              <w:t>21</w:t>
            </w:r>
            <w:r>
              <w:rPr>
                <w:rFonts w:hint="default" w:ascii="Times New Roman" w:hAnsi="Times New Roman" w:eastAsia="宋体" w:cs="Times New Roman"/>
                <w:i w:val="0"/>
                <w:color w:val="auto"/>
                <w:kern w:val="0"/>
                <w:sz w:val="16"/>
                <w:szCs w:val="16"/>
                <w:highlight w:val="none"/>
                <w:u w:val="none"/>
                <w:lang w:val="en-US" w:eastAsia="zh-CN" w:bidi="ar"/>
              </w:rPr>
              <w:t>年四川省政府专项债券（</w:t>
            </w:r>
            <w:r>
              <w:rPr>
                <w:rFonts w:hint="eastAsia" w:eastAsia="宋体" w:cs="Times New Roman"/>
                <w:i w:val="0"/>
                <w:color w:val="auto"/>
                <w:kern w:val="0"/>
                <w:sz w:val="16"/>
                <w:szCs w:val="16"/>
                <w:highlight w:val="none"/>
                <w:u w:val="none"/>
                <w:lang w:val="en-US" w:eastAsia="zh-CN" w:bidi="ar"/>
              </w:rPr>
              <w:t>四十一</w:t>
            </w:r>
            <w:r>
              <w:rPr>
                <w:rFonts w:hint="default" w:ascii="Times New Roman" w:hAnsi="Times New Roman" w:eastAsia="宋体" w:cs="Times New Roman"/>
                <w:i w:val="0"/>
                <w:color w:val="auto"/>
                <w:kern w:val="0"/>
                <w:sz w:val="16"/>
                <w:szCs w:val="16"/>
                <w:highlight w:val="none"/>
                <w:u w:val="none"/>
                <w:lang w:val="en-US" w:eastAsia="zh-CN" w:bidi="ar"/>
              </w:rPr>
              <w:t>期）</w:t>
            </w:r>
          </w:p>
        </w:tc>
        <w:tc>
          <w:tcPr>
            <w:tcW w:w="82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eastAsia="宋体" w:cs="Times New Roman"/>
                <w:i w:val="0"/>
                <w:color w:val="auto"/>
                <w:kern w:val="0"/>
                <w:sz w:val="16"/>
                <w:szCs w:val="16"/>
                <w:highlight w:val="none"/>
                <w:u w:val="none"/>
                <w:lang w:val="en-US" w:eastAsia="zh-CN" w:bidi="ar"/>
              </w:rPr>
            </w:pPr>
            <w:r>
              <w:rPr>
                <w:rFonts w:hint="eastAsia" w:eastAsia="宋体" w:cs="Times New Roman"/>
                <w:i w:val="0"/>
                <w:color w:val="auto"/>
                <w:kern w:val="0"/>
                <w:sz w:val="16"/>
                <w:szCs w:val="16"/>
                <w:highlight w:val="none"/>
                <w:u w:val="none"/>
                <w:lang w:val="en-US" w:eastAsia="zh-CN" w:bidi="ar"/>
              </w:rPr>
              <w:t>2171186</w:t>
            </w:r>
          </w:p>
        </w:tc>
        <w:tc>
          <w:tcPr>
            <w:tcW w:w="111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eastAsia="宋体" w:cs="Times New Roman"/>
                <w:i w:val="0"/>
                <w:color w:val="auto"/>
                <w:kern w:val="0"/>
                <w:sz w:val="16"/>
                <w:szCs w:val="16"/>
                <w:highlight w:val="none"/>
                <w:u w:val="none"/>
                <w:lang w:val="en-US" w:eastAsia="zh-CN" w:bidi="ar"/>
              </w:rPr>
            </w:pPr>
            <w:r>
              <w:rPr>
                <w:rFonts w:hint="eastAsia" w:eastAsia="宋体" w:cs="Times New Roman"/>
                <w:i w:val="0"/>
                <w:color w:val="auto"/>
                <w:kern w:val="0"/>
                <w:sz w:val="16"/>
                <w:szCs w:val="16"/>
                <w:highlight w:val="none"/>
                <w:u w:val="none"/>
                <w:lang w:val="en-US" w:eastAsia="zh-CN" w:bidi="ar"/>
              </w:rPr>
              <w:t>21四川债61</w:t>
            </w:r>
          </w:p>
        </w:tc>
        <w:tc>
          <w:tcPr>
            <w:tcW w:w="90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eastAsia="宋体" w:cs="Times New Roman"/>
                <w:i w:val="0"/>
                <w:color w:val="auto"/>
                <w:kern w:val="0"/>
                <w:sz w:val="16"/>
                <w:szCs w:val="16"/>
                <w:highlight w:val="none"/>
                <w:u w:val="none"/>
                <w:lang w:val="en-US" w:eastAsia="zh-CN" w:bidi="ar"/>
              </w:rPr>
            </w:pPr>
            <w:r>
              <w:rPr>
                <w:rFonts w:hint="eastAsia" w:eastAsia="宋体" w:cs="Times New Roman"/>
                <w:i w:val="0"/>
                <w:color w:val="auto"/>
                <w:kern w:val="0"/>
                <w:sz w:val="16"/>
                <w:szCs w:val="16"/>
                <w:highlight w:val="none"/>
                <w:u w:val="none"/>
                <w:lang w:val="en-US" w:eastAsia="zh-CN" w:bidi="ar"/>
              </w:rPr>
              <w:t>3.02</w:t>
            </w:r>
          </w:p>
        </w:tc>
        <w:tc>
          <w:tcPr>
            <w:tcW w:w="105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i w:val="0"/>
                <w:color w:val="auto"/>
                <w:kern w:val="0"/>
                <w:sz w:val="16"/>
                <w:szCs w:val="16"/>
                <w:highlight w:val="none"/>
                <w:u w:val="none"/>
                <w:lang w:val="en-US" w:eastAsia="zh-CN" w:bidi="ar"/>
              </w:rPr>
            </w:pPr>
            <w:r>
              <w:rPr>
                <w:rFonts w:hint="default" w:ascii="Times New Roman" w:hAnsi="Times New Roman" w:eastAsia="宋体" w:cs="Times New Roman"/>
                <w:i w:val="0"/>
                <w:color w:val="auto"/>
                <w:kern w:val="0"/>
                <w:sz w:val="16"/>
                <w:szCs w:val="16"/>
                <w:highlight w:val="none"/>
                <w:u w:val="none"/>
                <w:lang w:val="en-US" w:eastAsia="zh-CN" w:bidi="ar"/>
              </w:rPr>
              <w:t>2026-</w:t>
            </w:r>
            <w:r>
              <w:rPr>
                <w:rFonts w:hint="eastAsia" w:eastAsia="宋体" w:cs="Times New Roman"/>
                <w:i w:val="0"/>
                <w:color w:val="auto"/>
                <w:kern w:val="0"/>
                <w:sz w:val="16"/>
                <w:szCs w:val="16"/>
                <w:highlight w:val="none"/>
                <w:u w:val="none"/>
                <w:lang w:val="en-US" w:eastAsia="zh-CN" w:bidi="ar"/>
              </w:rPr>
              <w:t>11</w:t>
            </w:r>
            <w:r>
              <w:rPr>
                <w:rFonts w:hint="default" w:ascii="Times New Roman" w:hAnsi="Times New Roman" w:eastAsia="宋体" w:cs="Times New Roman"/>
                <w:i w:val="0"/>
                <w:color w:val="auto"/>
                <w:kern w:val="0"/>
                <w:sz w:val="16"/>
                <w:szCs w:val="16"/>
                <w:highlight w:val="none"/>
                <w:u w:val="none"/>
                <w:lang w:val="en-US" w:eastAsia="zh-CN" w:bidi="ar"/>
              </w:rPr>
              <w:t>-</w:t>
            </w:r>
            <w:r>
              <w:rPr>
                <w:rFonts w:hint="eastAsia" w:eastAsia="宋体" w:cs="Times New Roman"/>
                <w:i w:val="0"/>
                <w:color w:val="auto"/>
                <w:kern w:val="0"/>
                <w:sz w:val="16"/>
                <w:szCs w:val="16"/>
                <w:highlight w:val="none"/>
                <w:u w:val="none"/>
                <w:lang w:val="en-US" w:eastAsia="zh-CN" w:bidi="ar"/>
              </w:rPr>
              <w:t>10</w:t>
            </w:r>
          </w:p>
        </w:tc>
        <w:tc>
          <w:tcPr>
            <w:tcW w:w="106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eastAsia="宋体" w:cs="Times New Roman"/>
                <w:i w:val="0"/>
                <w:color w:val="auto"/>
                <w:kern w:val="0"/>
                <w:sz w:val="16"/>
                <w:szCs w:val="16"/>
                <w:highlight w:val="none"/>
                <w:u w:val="none"/>
                <w:lang w:val="en-US" w:eastAsia="zh-CN" w:bidi="ar"/>
              </w:rPr>
            </w:pPr>
            <w:r>
              <w:rPr>
                <w:rFonts w:hint="eastAsia" w:eastAsia="宋体" w:cs="Times New Roman"/>
                <w:i w:val="0"/>
                <w:color w:val="auto"/>
                <w:kern w:val="0"/>
                <w:sz w:val="16"/>
                <w:szCs w:val="16"/>
                <w:highlight w:val="none"/>
                <w:u w:val="none"/>
                <w:lang w:val="en-US" w:eastAsia="zh-CN" w:bidi="ar"/>
              </w:rPr>
              <w:t>22500</w:t>
            </w:r>
          </w:p>
        </w:tc>
      </w:tr>
    </w:tbl>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0"/>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二、信用评级情况</w:t>
      </w:r>
    </w:p>
    <w:p>
      <w:pPr>
        <w:pStyle w:val="4"/>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经</w:t>
      </w:r>
      <w:r>
        <w:rPr>
          <w:rFonts w:hint="default" w:ascii="Times New Roman" w:hAnsi="Times New Roman" w:eastAsia="仿宋_GB2312" w:cs="Times New Roman"/>
          <w:color w:val="auto"/>
          <w:sz w:val="32"/>
          <w:szCs w:val="32"/>
          <w:highlight w:val="none"/>
          <w:lang w:eastAsia="zh-CN"/>
        </w:rPr>
        <w:t>联合</w:t>
      </w:r>
      <w:r>
        <w:rPr>
          <w:rFonts w:hint="default" w:ascii="Times New Roman" w:hAnsi="Times New Roman" w:eastAsia="仿宋_GB2312" w:cs="Times New Roman"/>
          <w:color w:val="auto"/>
          <w:sz w:val="32"/>
          <w:szCs w:val="32"/>
          <w:highlight w:val="none"/>
        </w:rPr>
        <w:t>资信评估</w:t>
      </w:r>
      <w:r>
        <w:rPr>
          <w:rFonts w:hint="default" w:ascii="Times New Roman" w:hAnsi="Times New Roman" w:eastAsia="仿宋_GB2312" w:cs="Times New Roman"/>
          <w:color w:val="auto"/>
          <w:sz w:val="32"/>
          <w:szCs w:val="32"/>
          <w:highlight w:val="none"/>
          <w:lang w:eastAsia="zh-CN"/>
        </w:rPr>
        <w:t>股份</w:t>
      </w:r>
      <w:r>
        <w:rPr>
          <w:rFonts w:hint="default" w:ascii="Times New Roman" w:hAnsi="Times New Roman" w:eastAsia="仿宋_GB2312" w:cs="Times New Roman"/>
          <w:color w:val="auto"/>
          <w:sz w:val="32"/>
          <w:szCs w:val="32"/>
          <w:highlight w:val="none"/>
        </w:rPr>
        <w:t>有限公司综合评定，2026年四川省政府再融资</w:t>
      </w:r>
      <w:r>
        <w:rPr>
          <w:rFonts w:hint="default" w:ascii="Times New Roman" w:hAnsi="Times New Roman" w:eastAsia="仿宋_GB2312" w:cs="Times New Roman"/>
          <w:color w:val="auto"/>
          <w:sz w:val="32"/>
          <w:szCs w:val="32"/>
          <w:highlight w:val="none"/>
          <w:lang w:eastAsia="zh-CN"/>
        </w:rPr>
        <w:t>一般</w:t>
      </w:r>
      <w:r>
        <w:rPr>
          <w:rFonts w:hint="default" w:ascii="Times New Roman" w:hAnsi="Times New Roman" w:eastAsia="仿宋_GB2312" w:cs="Times New Roman"/>
          <w:color w:val="auto"/>
          <w:sz w:val="32"/>
          <w:szCs w:val="32"/>
          <w:highlight w:val="none"/>
        </w:rPr>
        <w:t>债券（</w:t>
      </w:r>
      <w:r>
        <w:rPr>
          <w:rFonts w:hint="default" w:ascii="Times New Roman" w:hAnsi="Times New Roman" w:eastAsia="仿宋_GB2312" w:cs="Times New Roman"/>
          <w:color w:val="auto"/>
          <w:sz w:val="32"/>
          <w:szCs w:val="32"/>
          <w:highlight w:val="none"/>
          <w:lang w:eastAsia="zh-CN"/>
        </w:rPr>
        <w:t>六</w:t>
      </w:r>
      <w:r>
        <w:rPr>
          <w:rFonts w:hint="default" w:ascii="Times New Roman" w:hAnsi="Times New Roman" w:eastAsia="仿宋_GB2312" w:cs="Times New Roman"/>
          <w:color w:val="auto"/>
          <w:sz w:val="32"/>
          <w:szCs w:val="32"/>
          <w:highlight w:val="none"/>
        </w:rPr>
        <w:t>期）</w:t>
      </w:r>
      <w:r>
        <w:rPr>
          <w:rFonts w:hint="default" w:ascii="Times New Roman" w:hAnsi="Times New Roman" w:eastAsia="仿宋_GB2312" w:cs="Times New Roman"/>
          <w:color w:val="auto"/>
          <w:sz w:val="32"/>
          <w:szCs w:val="32"/>
          <w:highlight w:val="none"/>
          <w:lang w:eastAsia="zh-CN"/>
        </w:rPr>
        <w:t>及</w:t>
      </w:r>
      <w:r>
        <w:rPr>
          <w:rFonts w:hint="default" w:ascii="Times New Roman" w:hAnsi="Times New Roman" w:eastAsia="仿宋_GB2312" w:cs="Times New Roman"/>
          <w:color w:val="auto"/>
          <w:sz w:val="32"/>
          <w:szCs w:val="32"/>
          <w:highlight w:val="none"/>
        </w:rPr>
        <w:t>再融资专项债券（</w:t>
      </w:r>
      <w:r>
        <w:rPr>
          <w:rFonts w:hint="default" w:ascii="Times New Roman" w:hAnsi="Times New Roman" w:eastAsia="仿宋_GB2312" w:cs="Times New Roman"/>
          <w:color w:val="auto"/>
          <w:sz w:val="32"/>
          <w:szCs w:val="32"/>
          <w:highlight w:val="none"/>
          <w:lang w:eastAsia="zh-CN"/>
        </w:rPr>
        <w:t>十六</w:t>
      </w:r>
      <w:r>
        <w:rPr>
          <w:rFonts w:hint="default" w:ascii="Times New Roman" w:hAnsi="Times New Roman" w:eastAsia="仿宋_GB2312" w:cs="Times New Roman"/>
          <w:color w:val="auto"/>
          <w:sz w:val="32"/>
          <w:szCs w:val="32"/>
          <w:highlight w:val="none"/>
        </w:rPr>
        <w:t>期）债券信用级别为AAA。在2026年四川省政府再融资</w:t>
      </w:r>
      <w:r>
        <w:rPr>
          <w:rFonts w:hint="default" w:ascii="Times New Roman" w:hAnsi="Times New Roman" w:eastAsia="仿宋_GB2312" w:cs="Times New Roman"/>
          <w:color w:val="auto"/>
          <w:sz w:val="32"/>
          <w:szCs w:val="32"/>
          <w:highlight w:val="none"/>
          <w:lang w:eastAsia="zh-CN"/>
        </w:rPr>
        <w:t>一般</w:t>
      </w:r>
      <w:r>
        <w:rPr>
          <w:rFonts w:hint="default" w:ascii="Times New Roman" w:hAnsi="Times New Roman" w:eastAsia="仿宋_GB2312" w:cs="Times New Roman"/>
          <w:color w:val="auto"/>
          <w:sz w:val="32"/>
          <w:szCs w:val="32"/>
          <w:highlight w:val="none"/>
        </w:rPr>
        <w:t>债券（</w:t>
      </w:r>
      <w:r>
        <w:rPr>
          <w:rFonts w:hint="default" w:ascii="Times New Roman" w:hAnsi="Times New Roman" w:eastAsia="仿宋_GB2312" w:cs="Times New Roman"/>
          <w:color w:val="auto"/>
          <w:sz w:val="32"/>
          <w:szCs w:val="32"/>
          <w:highlight w:val="none"/>
          <w:lang w:eastAsia="zh-CN"/>
        </w:rPr>
        <w:t>六</w:t>
      </w:r>
      <w:r>
        <w:rPr>
          <w:rFonts w:hint="default" w:ascii="Times New Roman" w:hAnsi="Times New Roman" w:eastAsia="仿宋_GB2312" w:cs="Times New Roman"/>
          <w:color w:val="auto"/>
          <w:sz w:val="32"/>
          <w:szCs w:val="32"/>
          <w:highlight w:val="none"/>
        </w:rPr>
        <w:t>期）</w:t>
      </w:r>
      <w:r>
        <w:rPr>
          <w:rFonts w:hint="default" w:ascii="Times New Roman" w:hAnsi="Times New Roman" w:eastAsia="仿宋_GB2312" w:cs="Times New Roman"/>
          <w:color w:val="auto"/>
          <w:sz w:val="32"/>
          <w:szCs w:val="32"/>
          <w:highlight w:val="none"/>
          <w:lang w:eastAsia="zh-CN"/>
        </w:rPr>
        <w:t>及</w:t>
      </w:r>
      <w:r>
        <w:rPr>
          <w:rFonts w:hint="default" w:ascii="Times New Roman" w:hAnsi="Times New Roman" w:eastAsia="仿宋_GB2312" w:cs="Times New Roman"/>
          <w:color w:val="auto"/>
          <w:sz w:val="32"/>
          <w:szCs w:val="32"/>
          <w:highlight w:val="none"/>
        </w:rPr>
        <w:t>再融资专项债券（</w:t>
      </w:r>
      <w:r>
        <w:rPr>
          <w:rFonts w:hint="default" w:ascii="Times New Roman" w:hAnsi="Times New Roman" w:eastAsia="仿宋_GB2312" w:cs="Times New Roman"/>
          <w:color w:val="auto"/>
          <w:sz w:val="32"/>
          <w:szCs w:val="32"/>
          <w:highlight w:val="none"/>
          <w:lang w:eastAsia="zh-CN"/>
        </w:rPr>
        <w:t>十六</w:t>
      </w:r>
      <w:r>
        <w:rPr>
          <w:rFonts w:hint="default" w:ascii="Times New Roman" w:hAnsi="Times New Roman" w:eastAsia="仿宋_GB2312" w:cs="Times New Roman"/>
          <w:color w:val="auto"/>
          <w:sz w:val="32"/>
          <w:szCs w:val="32"/>
          <w:highlight w:val="none"/>
        </w:rPr>
        <w:t>期）存续期内，四川省财政厅将委托</w:t>
      </w:r>
      <w:r>
        <w:rPr>
          <w:rFonts w:hint="default" w:ascii="Times New Roman" w:hAnsi="Times New Roman" w:eastAsia="仿宋_GB2312" w:cs="Times New Roman"/>
          <w:color w:val="auto"/>
          <w:sz w:val="32"/>
          <w:szCs w:val="32"/>
          <w:highlight w:val="none"/>
          <w:lang w:eastAsia="zh-CN"/>
        </w:rPr>
        <w:t>联合</w:t>
      </w:r>
      <w:r>
        <w:rPr>
          <w:rFonts w:hint="default" w:ascii="Times New Roman" w:hAnsi="Times New Roman" w:eastAsia="仿宋_GB2312" w:cs="Times New Roman"/>
          <w:color w:val="auto"/>
          <w:sz w:val="32"/>
          <w:szCs w:val="32"/>
          <w:highlight w:val="none"/>
        </w:rPr>
        <w:t>资信评估</w:t>
      </w:r>
      <w:r>
        <w:rPr>
          <w:rFonts w:hint="default" w:ascii="Times New Roman" w:hAnsi="Times New Roman" w:eastAsia="仿宋_GB2312" w:cs="Times New Roman"/>
          <w:color w:val="auto"/>
          <w:sz w:val="32"/>
          <w:szCs w:val="32"/>
          <w:highlight w:val="none"/>
          <w:lang w:eastAsia="zh-CN"/>
        </w:rPr>
        <w:t>股份</w:t>
      </w:r>
      <w:r>
        <w:rPr>
          <w:rFonts w:hint="default" w:ascii="Times New Roman" w:hAnsi="Times New Roman" w:eastAsia="仿宋_GB2312" w:cs="Times New Roman"/>
          <w:color w:val="auto"/>
          <w:sz w:val="32"/>
          <w:szCs w:val="32"/>
          <w:highlight w:val="none"/>
        </w:rPr>
        <w:t>有限公司每年开展一次跟踪评级。</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0"/>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三、全省中长期经济规划情况</w:t>
      </w:r>
    </w:p>
    <w:p>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《四川省国民经济和社会发展第十</w:t>
      </w:r>
      <w:r>
        <w:rPr>
          <w:rFonts w:hint="eastAsia" w:ascii="Times New Roman" w:hAnsi="Times New Roman" w:eastAsia="仿宋_GB2312" w:cs="Times New Roman"/>
          <w:color w:val="auto"/>
          <w:sz w:val="32"/>
          <w:szCs w:val="32"/>
          <w:highlight w:val="none"/>
          <w:lang w:eastAsia="zh-CN"/>
        </w:rPr>
        <w:t>五</w:t>
      </w:r>
      <w:r>
        <w:rPr>
          <w:rFonts w:hint="default" w:ascii="Times New Roman" w:hAnsi="Times New Roman" w:eastAsia="仿宋_GB2312" w:cs="Times New Roman"/>
          <w:color w:val="auto"/>
          <w:sz w:val="32"/>
          <w:szCs w:val="32"/>
          <w:highlight w:val="none"/>
        </w:rPr>
        <w:t>个五年规划纲要》已经四川省第十</w:t>
      </w:r>
      <w:r>
        <w:rPr>
          <w:rFonts w:hint="eastAsia" w:ascii="Times New Roman" w:hAnsi="Times New Roman" w:eastAsia="仿宋_GB2312" w:cs="Times New Roman"/>
          <w:color w:val="auto"/>
          <w:sz w:val="32"/>
          <w:szCs w:val="32"/>
          <w:highlight w:val="none"/>
          <w:lang w:eastAsia="zh-CN"/>
        </w:rPr>
        <w:t>四</w:t>
      </w:r>
      <w:r>
        <w:rPr>
          <w:rFonts w:hint="default" w:ascii="Times New Roman" w:hAnsi="Times New Roman" w:eastAsia="仿宋_GB2312" w:cs="Times New Roman"/>
          <w:color w:val="auto"/>
          <w:sz w:val="32"/>
          <w:szCs w:val="32"/>
          <w:highlight w:val="none"/>
        </w:rPr>
        <w:t>届人民代表大会第</w:t>
      </w:r>
      <w:r>
        <w:rPr>
          <w:rFonts w:hint="eastAsia" w:ascii="Times New Roman" w:hAnsi="Times New Roman" w:eastAsia="仿宋_GB2312" w:cs="Times New Roman"/>
          <w:color w:val="auto"/>
          <w:sz w:val="32"/>
          <w:szCs w:val="32"/>
          <w:highlight w:val="none"/>
          <w:lang w:eastAsia="zh-CN"/>
        </w:rPr>
        <w:t>五</w:t>
      </w:r>
      <w:r>
        <w:rPr>
          <w:rFonts w:hint="default" w:ascii="Times New Roman" w:hAnsi="Times New Roman" w:eastAsia="仿宋_GB2312" w:cs="Times New Roman"/>
          <w:color w:val="auto"/>
          <w:sz w:val="32"/>
          <w:szCs w:val="32"/>
          <w:highlight w:val="none"/>
        </w:rPr>
        <w:t>次会议批准。“十</w:t>
      </w:r>
      <w:r>
        <w:rPr>
          <w:rFonts w:hint="eastAsia" w:ascii="Times New Roman" w:hAnsi="Times New Roman" w:eastAsia="仿宋_GB2312" w:cs="Times New Roman"/>
          <w:color w:val="auto"/>
          <w:sz w:val="32"/>
          <w:szCs w:val="32"/>
          <w:highlight w:val="none"/>
          <w:lang w:eastAsia="zh-CN"/>
        </w:rPr>
        <w:t>五</w:t>
      </w:r>
      <w:r>
        <w:rPr>
          <w:rFonts w:hint="default" w:ascii="Times New Roman" w:hAnsi="Times New Roman" w:eastAsia="仿宋_GB2312" w:cs="Times New Roman"/>
          <w:color w:val="auto"/>
          <w:sz w:val="32"/>
          <w:szCs w:val="32"/>
          <w:highlight w:val="none"/>
        </w:rPr>
        <w:t>五”时期四川将坚持马克思列宁主义、毛泽东思想、邓小平理论、“三个代表”重要思想、科学发展观，全面贯彻习近平新时代中国特色社会主义思想，深入贯彻党的二十大和二十届历次全会精神，坚定落实习近平总书记对四川工作系列重要指示精神，统筹推进“五位一体”总体布局，协调推进“四个全面”战略布局，完整准确全面贯彻新发展理念，坚持稳中求进工作总基调，坚持以经济建设为中心，以推动高质量发展为主题，以改革创新为根本动力，以满足人民日益增长的美好生活需要为根本目的，以全面从严治党为根本保障，深入实施“四化同步、城乡融合、五区共兴”发展战略，主动服务国家战略全局，更好融入新发展格局，推动经济实现质的有效提升和量的合理增长，推动共同富裕迈出坚实步伐，确保四川基本实现社会主义现代化取得决定性进展。</w:t>
      </w:r>
    </w:p>
    <w:p>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“十</w:t>
      </w:r>
      <w:r>
        <w:rPr>
          <w:rFonts w:hint="eastAsia" w:ascii="Times New Roman" w:hAnsi="Times New Roman" w:eastAsia="仿宋_GB2312" w:cs="Times New Roman"/>
          <w:color w:val="auto"/>
          <w:sz w:val="32"/>
          <w:szCs w:val="32"/>
          <w:highlight w:val="none"/>
          <w:lang w:eastAsia="zh-CN"/>
        </w:rPr>
        <w:t>五</w:t>
      </w:r>
      <w:r>
        <w:rPr>
          <w:rFonts w:hint="default" w:ascii="Times New Roman" w:hAnsi="Times New Roman" w:eastAsia="仿宋_GB2312" w:cs="Times New Roman"/>
          <w:color w:val="auto"/>
          <w:sz w:val="32"/>
          <w:szCs w:val="32"/>
          <w:highlight w:val="none"/>
        </w:rPr>
        <w:t>五”时期，四川经济社会发展的主要目标是：建设现代化经济强省取得重要进展。经济增速保持高于全国平均水平。打造西部地区创新高地取得重要进展。创新体系整体效能持续提升，科技创新策源功能显著增强，一批关键核心技术取得突破，科技成果转化效率大幅提升，教育科技人才一体发展格局基本形成。区域城乡协调发展取得重要进展。成渝地区双城经济圈加快成为全国高质量发展增长极，五区共兴发展成效显著。建设新时代改革开放新高地取得重要进展。进一步全面深化改革任务如期完成，一批标志性引领性改革取得重大突破。社会文明进步取得重要进展。社会主义核心价值观广泛践行，社会文明风尚更加浓厚，人民精神文化生活更加丰富，四川文化软实力显著增强，习近平文化思想实践新高地建设加快推进。创造高品质生活取得重要进展。高质量充分就业局面加快形成，居民收入增长和经济增长同步，分配结构得到优化，城乡居民收入比进一步降低。公共服务体系更加健全，社会保障制度更加优化更可持续。美丽四川建设取得重要进展。生态环境持续改善，重点领域绿色低碳转型步伐加快，2030年前碳达峰目标如期实现，维护国家生态安全的战略屏障更加巩固，美丽中国先行区建设扎实推进。统筹发展和安全取得重要进展。保障国家重要初级产品供给战略基地加快建设，重点领域风险有效防范化解，平安四川建设达到更高水平，社会治理和公共安全治理水平明显提高，治理体系和治理能力现代化水平迈上新台阶。</w:t>
      </w:r>
    </w:p>
    <w:p>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 xml:space="preserve">    </w:t>
      </w:r>
      <w:r>
        <w:rPr>
          <w:rFonts w:hint="eastAsia" w:ascii="Times New Roman" w:hAnsi="Times New Roman" w:eastAsia="仿宋_GB2312" w:cs="Times New Roman"/>
          <w:color w:val="auto"/>
          <w:sz w:val="32"/>
          <w:szCs w:val="32"/>
          <w:highlight w:val="none"/>
          <w:lang w:eastAsia="zh-CN"/>
        </w:rPr>
        <w:t>在此基础上再奋斗五年，到</w:t>
      </w:r>
      <w:r>
        <w:rPr>
          <w:rFonts w:hint="eastAsia" w:ascii="Times New Roman" w:hAnsi="Times New Roman" w:eastAsia="仿宋_GB2312" w:cs="Times New Roman"/>
          <w:color w:val="auto"/>
          <w:sz w:val="32"/>
          <w:szCs w:val="32"/>
          <w:highlight w:val="none"/>
          <w:lang w:val="en-US" w:eastAsia="zh-CN"/>
        </w:rPr>
        <w:t>2035年实现全省经济实力、科技实力和综合竞争力大幅跃升，基本建成现代化经济强省，人民生活更加幸福安逸，与全国同步基本实现社会主义现代化。</w:t>
      </w:r>
    </w:p>
    <w:p>
      <w:pPr>
        <w:pStyle w:val="4"/>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《四川省国民经济和社会发展第十</w:t>
      </w:r>
      <w:r>
        <w:rPr>
          <w:rFonts w:hint="eastAsia" w:ascii="Times New Roman" w:hAnsi="Times New Roman" w:eastAsia="仿宋_GB2312" w:cs="Times New Roman"/>
          <w:color w:val="auto"/>
          <w:sz w:val="32"/>
          <w:szCs w:val="32"/>
          <w:highlight w:val="none"/>
          <w:lang w:eastAsia="zh-CN"/>
        </w:rPr>
        <w:t>五</w:t>
      </w:r>
      <w:r>
        <w:rPr>
          <w:rFonts w:hint="default" w:ascii="Times New Roman" w:hAnsi="Times New Roman" w:eastAsia="仿宋_GB2312" w:cs="Times New Roman"/>
          <w:color w:val="auto"/>
          <w:sz w:val="32"/>
          <w:szCs w:val="32"/>
          <w:highlight w:val="none"/>
        </w:rPr>
        <w:t>个五年规划纲要》具体内容参见四川省</w:t>
      </w:r>
      <w:r>
        <w:rPr>
          <w:rFonts w:hint="eastAsia" w:ascii="Times New Roman" w:hAnsi="Times New Roman" w:eastAsia="仿宋_GB2312" w:cs="Times New Roman"/>
          <w:color w:val="auto"/>
          <w:sz w:val="32"/>
          <w:szCs w:val="32"/>
          <w:highlight w:val="none"/>
          <w:lang w:eastAsia="zh-CN"/>
        </w:rPr>
        <w:t>人民政府</w:t>
      </w:r>
      <w:r>
        <w:rPr>
          <w:rFonts w:hint="default" w:ascii="Times New Roman" w:hAnsi="Times New Roman" w:eastAsia="仿宋_GB2312" w:cs="Times New Roman"/>
          <w:color w:val="auto"/>
          <w:sz w:val="32"/>
          <w:szCs w:val="32"/>
          <w:highlight w:val="none"/>
        </w:rPr>
        <w:t>网站。</w:t>
      </w:r>
    </w:p>
    <w:p>
      <w:pPr>
        <w:keepNext w:val="0"/>
        <w:keepLines w:val="0"/>
        <w:pageBreakBefore w:val="0"/>
        <w:widowControl w:val="0"/>
        <w:numPr>
          <w:ilvl w:val="0"/>
          <w:numId w:val="2"/>
        </w:numPr>
        <w:kinsoku/>
        <w:wordWrap/>
        <w:overflowPunct/>
        <w:topLinePunct w:val="0"/>
        <w:autoSpaceDE/>
        <w:autoSpaceDN/>
        <w:bidi w:val="0"/>
        <w:adjustRightInd/>
        <w:snapToGrid/>
        <w:spacing w:line="540" w:lineRule="exact"/>
        <w:ind w:left="640" w:leftChars="0" w:firstLine="0" w:firstLineChars="0"/>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四川省经济、财政和债务有关数据</w:t>
      </w:r>
    </w:p>
    <w:tbl>
      <w:tblPr>
        <w:tblStyle w:val="11"/>
        <w:tblW w:w="97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98"/>
        <w:gridCol w:w="1120"/>
        <w:gridCol w:w="49"/>
        <w:gridCol w:w="463"/>
        <w:gridCol w:w="185"/>
        <w:gridCol w:w="465"/>
        <w:gridCol w:w="1031"/>
        <w:gridCol w:w="56"/>
        <w:gridCol w:w="1126"/>
        <w:gridCol w:w="596"/>
        <w:gridCol w:w="397"/>
        <w:gridCol w:w="27"/>
        <w:gridCol w:w="11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4" w:hRule="exact"/>
        </w:trPr>
        <w:tc>
          <w:tcPr>
            <w:tcW w:w="9723" w:type="dxa"/>
            <w:gridSpan w:val="13"/>
            <w:noWrap/>
            <w:vAlign w:val="center"/>
          </w:tcPr>
          <w:p>
            <w:pPr>
              <w:widowControl/>
              <w:spacing w:line="400" w:lineRule="exact"/>
              <w:ind w:firstLine="482"/>
              <w:rPr>
                <w:rFonts w:hint="default" w:ascii="Times New Roman" w:hAnsi="Times New Roman" w:cs="Times New Roman"/>
                <w:b/>
                <w:kern w:val="0"/>
                <w:sz w:val="24"/>
                <w:highlight w:val="none"/>
              </w:rPr>
            </w:pPr>
            <w:r>
              <w:rPr>
                <w:rFonts w:hint="default" w:ascii="Times New Roman" w:hAnsi="Times New Roman" w:cs="Times New Roman"/>
                <w:b/>
                <w:kern w:val="0"/>
                <w:sz w:val="24"/>
                <w:highlight w:val="none"/>
              </w:rPr>
              <w:t>一、地方经济状况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68" w:hRule="exact"/>
        </w:trPr>
        <w:tc>
          <w:tcPr>
            <w:tcW w:w="9723" w:type="dxa"/>
            <w:gridSpan w:val="13"/>
            <w:noWrap/>
            <w:vAlign w:val="center"/>
          </w:tcPr>
          <w:p>
            <w:pPr>
              <w:widowControl/>
              <w:spacing w:line="400" w:lineRule="exact"/>
              <w:ind w:firstLine="482"/>
              <w:jc w:val="center"/>
              <w:rPr>
                <w:rFonts w:hint="default" w:ascii="Times New Roman" w:hAnsi="Times New Roman" w:cs="Times New Roman"/>
                <w:b/>
                <w:kern w:val="0"/>
                <w:sz w:val="24"/>
                <w:highlight w:val="none"/>
              </w:rPr>
            </w:pPr>
            <w:r>
              <w:rPr>
                <w:rFonts w:hint="default" w:ascii="Times New Roman" w:hAnsi="Times New Roman" w:eastAsia="仿宋_GB2312" w:cs="Times New Roman"/>
                <w:b/>
                <w:bCs/>
                <w:kern w:val="2"/>
                <w:sz w:val="24"/>
                <w:szCs w:val="21"/>
                <w:highlight w:val="none"/>
                <w:lang w:val="en-US" w:eastAsia="zh-CN" w:bidi="ar-SA"/>
              </w:rPr>
              <w:t>20</w:t>
            </w:r>
            <w:r>
              <w:rPr>
                <w:rFonts w:hint="default" w:ascii="Times New Roman" w:hAnsi="Times New Roman" w:cs="Times New Roman"/>
                <w:b/>
                <w:bCs/>
                <w:kern w:val="2"/>
                <w:sz w:val="24"/>
                <w:szCs w:val="21"/>
                <w:highlight w:val="none"/>
                <w:lang w:val="en-US" w:eastAsia="zh-CN" w:bidi="ar-SA"/>
              </w:rPr>
              <w:t>2</w:t>
            </w:r>
            <w:r>
              <w:rPr>
                <w:rFonts w:hint="eastAsia" w:cs="Times New Roman"/>
                <w:b/>
                <w:bCs/>
                <w:kern w:val="2"/>
                <w:sz w:val="24"/>
                <w:szCs w:val="21"/>
                <w:highlight w:val="none"/>
                <w:lang w:val="en-US" w:eastAsia="zh-CN" w:bidi="ar-SA"/>
              </w:rPr>
              <w:t>3</w:t>
            </w:r>
            <w:r>
              <w:rPr>
                <w:rFonts w:hint="default" w:ascii="Times New Roman" w:hAnsi="Times New Roman" w:eastAsia="仿宋_GB2312" w:cs="Times New Roman"/>
                <w:b/>
                <w:bCs/>
                <w:kern w:val="2"/>
                <w:sz w:val="24"/>
                <w:szCs w:val="21"/>
                <w:highlight w:val="none"/>
                <w:lang w:val="en-US" w:eastAsia="zh-CN" w:bidi="ar-SA"/>
              </w:rPr>
              <w:t>－202</w:t>
            </w:r>
            <w:r>
              <w:rPr>
                <w:rFonts w:hint="eastAsia" w:cs="Times New Roman"/>
                <w:b/>
                <w:bCs/>
                <w:kern w:val="2"/>
                <w:sz w:val="24"/>
                <w:szCs w:val="21"/>
                <w:highlight w:val="none"/>
                <w:lang w:val="en-US" w:eastAsia="zh-CN" w:bidi="ar-SA"/>
              </w:rPr>
              <w:t>5</w:t>
            </w:r>
            <w:r>
              <w:rPr>
                <w:rFonts w:hint="default" w:ascii="Times New Roman" w:hAnsi="Times New Roman" w:cs="Times New Roman"/>
                <w:b/>
                <w:kern w:val="0"/>
                <w:sz w:val="24"/>
                <w:highlight w:val="none"/>
              </w:rPr>
              <w:t>年经济基本状况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33" w:hRule="exact"/>
        </w:trPr>
        <w:tc>
          <w:tcPr>
            <w:tcW w:w="4915" w:type="dxa"/>
            <w:gridSpan w:val="5"/>
            <w:noWrap/>
            <w:vAlign w:val="center"/>
          </w:tcPr>
          <w:p>
            <w:pPr>
              <w:widowControl/>
              <w:spacing w:line="400" w:lineRule="exact"/>
              <w:ind w:firstLine="2880" w:firstLineChars="120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mc:AlternateContent>
                <mc:Choice Requires="wps">
                  <w:drawing>
                    <wp:anchor distT="0" distB="0" distL="114300" distR="114300" simplePos="0" relativeHeight="251659264" behindDoc="0" locked="0" layoutInCell="1" allowOverlap="1">
                      <wp:simplePos x="0" y="0"/>
                      <wp:positionH relativeFrom="column">
                        <wp:posOffset>-65405</wp:posOffset>
                      </wp:positionH>
                      <wp:positionV relativeFrom="paragraph">
                        <wp:posOffset>3175</wp:posOffset>
                      </wp:positionV>
                      <wp:extent cx="3124835" cy="497840"/>
                      <wp:effectExtent l="635" t="4445" r="17780" b="12065"/>
                      <wp:wrapNone/>
                      <wp:docPr id="2" name="直接箭头连接符 2"/>
                      <wp:cNvGraphicFramePr/>
                      <a:graphic xmlns:a="http://schemas.openxmlformats.org/drawingml/2006/main">
                        <a:graphicData uri="http://schemas.microsoft.com/office/word/2010/wordprocessingShape">
                          <wps:wsp>
                            <wps:cNvCnPr/>
                            <wps:spPr>
                              <a:xfrm>
                                <a:off x="0" y="0"/>
                                <a:ext cx="3124835" cy="49784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5.15pt;margin-top:0.25pt;height:39.2pt;width:246.05pt;z-index:251659264;mso-width-relative:page;mso-height-relative:page;" filled="f" stroked="t" coordsize="21600,21600" o:gfxdata="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WAAAA&#10;ZHJzL1BLAQIUABQAAAAIAIdO4kDqlGHh1gAAAAcBAAAPAAAAAAAAAAEAIAAAADgAAABkcnMvZG93&#10;bnJldi54bWxQSwECFAAUAAAACACHTuJA0nhSa+wBAACxAwAADgAAAAAAAAABACAAAAA7AQAAZHJz&#10;L2Uyb0RvYy54bWxQSwUGAAAAAAYABgBZAQAAmQUAAAAA&#10;">
                      <v:fill on="f" focussize="0,0"/>
                      <v:stroke color="#000000" joinstyle="round"/>
                      <v:imagedata o:title=""/>
                      <o:lock v:ext="edit" aspectratio="f"/>
                    </v:shape>
                  </w:pict>
                </mc:Fallback>
              </mc:AlternateContent>
            </w:r>
            <w:r>
              <w:rPr>
                <w:rFonts w:hint="default" w:ascii="Times New Roman" w:hAnsi="Times New Roman" w:cs="Times New Roman"/>
                <w:kern w:val="0"/>
                <w:sz w:val="24"/>
                <w:highlight w:val="none"/>
              </w:rPr>
              <w:t>年份</w:t>
            </w:r>
          </w:p>
          <w:p>
            <w:pPr>
              <w:widowControl/>
              <w:spacing w:line="400" w:lineRule="exact"/>
              <w:ind w:firstLine="1320" w:firstLineChars="55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项目</w:t>
            </w:r>
          </w:p>
        </w:tc>
        <w:tc>
          <w:tcPr>
            <w:tcW w:w="1552" w:type="dxa"/>
            <w:gridSpan w:val="3"/>
            <w:noWrap/>
            <w:vAlign w:val="center"/>
          </w:tcPr>
          <w:p>
            <w:pPr>
              <w:widowControl/>
              <w:spacing w:line="400" w:lineRule="exact"/>
              <w:jc w:val="center"/>
              <w:rPr>
                <w:rFonts w:hint="default" w:ascii="Times New Roman" w:hAnsi="Times New Roman" w:eastAsia="仿宋_GB2312" w:cs="Times New Roman"/>
                <w:kern w:val="0"/>
                <w:sz w:val="24"/>
                <w:szCs w:val="24"/>
                <w:highlight w:val="none"/>
                <w:lang w:val="en-US" w:eastAsia="zh-CN" w:bidi="ar-SA"/>
              </w:rPr>
            </w:pPr>
            <w:r>
              <w:rPr>
                <w:rFonts w:hint="default" w:ascii="Times New Roman" w:hAnsi="Times New Roman" w:cs="Times New Roman"/>
                <w:kern w:val="0"/>
                <w:sz w:val="24"/>
                <w:highlight w:val="none"/>
                <w:lang w:val="en"/>
              </w:rPr>
              <w:t>202</w:t>
            </w:r>
            <w:r>
              <w:rPr>
                <w:rFonts w:hint="eastAsia" w:cs="Times New Roman"/>
                <w:kern w:val="0"/>
                <w:sz w:val="24"/>
                <w:highlight w:val="none"/>
                <w:lang w:val="en-US" w:eastAsia="zh-CN"/>
              </w:rPr>
              <w:t>3</w:t>
            </w:r>
            <w:r>
              <w:rPr>
                <w:rFonts w:hint="default" w:ascii="Times New Roman" w:hAnsi="Times New Roman" w:cs="Times New Roman"/>
                <w:kern w:val="0"/>
                <w:sz w:val="24"/>
                <w:highlight w:val="none"/>
                <w:lang w:val="en" w:eastAsia="zh-CN"/>
              </w:rPr>
              <w:t>年</w:t>
            </w:r>
          </w:p>
        </w:tc>
        <w:tc>
          <w:tcPr>
            <w:tcW w:w="1722" w:type="dxa"/>
            <w:gridSpan w:val="2"/>
            <w:noWrap/>
            <w:vAlign w:val="center"/>
          </w:tcPr>
          <w:p>
            <w:pPr>
              <w:widowControl/>
              <w:spacing w:line="400" w:lineRule="exact"/>
              <w:jc w:val="center"/>
              <w:rPr>
                <w:rFonts w:hint="default" w:ascii="Times New Roman" w:hAnsi="Times New Roman" w:eastAsia="仿宋_GB2312" w:cs="Times New Roman"/>
                <w:kern w:val="0"/>
                <w:sz w:val="24"/>
                <w:szCs w:val="24"/>
                <w:highlight w:val="none"/>
                <w:lang w:val="en-US" w:eastAsia="zh-CN" w:bidi="ar-SA"/>
              </w:rPr>
            </w:pPr>
            <w:r>
              <w:rPr>
                <w:rFonts w:hint="default" w:ascii="Times New Roman" w:hAnsi="Times New Roman" w:cs="Times New Roman"/>
                <w:kern w:val="0"/>
                <w:sz w:val="24"/>
                <w:highlight w:val="none"/>
                <w:lang w:val="en"/>
              </w:rPr>
              <w:t>202</w:t>
            </w:r>
            <w:r>
              <w:rPr>
                <w:rFonts w:hint="eastAsia" w:cs="Times New Roman"/>
                <w:kern w:val="0"/>
                <w:sz w:val="24"/>
                <w:highlight w:val="none"/>
                <w:lang w:val="en-US" w:eastAsia="zh-CN"/>
              </w:rPr>
              <w:t>4</w:t>
            </w:r>
            <w:r>
              <w:rPr>
                <w:rFonts w:hint="default" w:ascii="Times New Roman" w:hAnsi="Times New Roman" w:cs="Times New Roman"/>
                <w:kern w:val="0"/>
                <w:sz w:val="24"/>
                <w:highlight w:val="none"/>
                <w:lang w:val="en" w:eastAsia="zh-CN"/>
              </w:rPr>
              <w:t>年</w:t>
            </w:r>
          </w:p>
        </w:tc>
        <w:tc>
          <w:tcPr>
            <w:tcW w:w="1534" w:type="dxa"/>
            <w:gridSpan w:val="3"/>
            <w:noWrap/>
            <w:vAlign w:val="center"/>
          </w:tcPr>
          <w:p>
            <w:pPr>
              <w:widowControl/>
              <w:spacing w:line="400" w:lineRule="exact"/>
              <w:jc w:val="center"/>
              <w:rPr>
                <w:rFonts w:hint="default" w:ascii="Times New Roman" w:hAnsi="Times New Roman" w:eastAsia="仿宋_GB2312" w:cs="Times New Roman"/>
                <w:kern w:val="0"/>
                <w:sz w:val="24"/>
                <w:highlight w:val="none"/>
                <w:lang w:val="en" w:eastAsia="zh-CN"/>
              </w:rPr>
            </w:pPr>
            <w:r>
              <w:rPr>
                <w:rFonts w:hint="default" w:ascii="Times New Roman" w:hAnsi="Times New Roman" w:cs="Times New Roman"/>
                <w:kern w:val="0"/>
                <w:sz w:val="24"/>
                <w:highlight w:val="none"/>
                <w:lang w:val="en"/>
              </w:rPr>
              <w:t>202</w:t>
            </w:r>
            <w:r>
              <w:rPr>
                <w:rFonts w:hint="eastAsia" w:cs="Times New Roman"/>
                <w:kern w:val="0"/>
                <w:sz w:val="24"/>
                <w:highlight w:val="none"/>
                <w:lang w:val="en-US" w:eastAsia="zh-CN"/>
              </w:rPr>
              <w:t>5</w:t>
            </w:r>
            <w:r>
              <w:rPr>
                <w:rFonts w:hint="default" w:ascii="Times New Roman" w:hAnsi="Times New Roman" w:cs="Times New Roman"/>
                <w:kern w:val="0"/>
                <w:sz w:val="24"/>
                <w:highlight w:val="none"/>
                <w:lang w:val="en" w:eastAsia="zh-CN"/>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地区生产总值（亿元）</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60132.</w:t>
            </w:r>
            <w:r>
              <w:rPr>
                <w:rFonts w:hint="default" w:ascii="Times New Roman" w:hAnsi="Times New Roman" w:cs="Times New Roman"/>
                <w:sz w:val="24"/>
                <w:highlight w:val="none"/>
                <w:lang w:val="en" w:eastAsia="zh-CN"/>
              </w:rPr>
              <w:t>9</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64697.0</w:t>
            </w:r>
          </w:p>
        </w:tc>
        <w:tc>
          <w:tcPr>
            <w:tcW w:w="1534" w:type="dxa"/>
            <w:gridSpan w:val="3"/>
            <w:noWrap/>
            <w:vAlign w:val="center"/>
          </w:tcPr>
          <w:p>
            <w:pPr>
              <w:spacing w:line="400" w:lineRule="exact"/>
              <w:jc w:val="right"/>
              <w:rPr>
                <w:rFonts w:hint="default" w:ascii="Times New Roman" w:hAnsi="Times New Roman" w:eastAsia="仿宋_GB2312" w:cs="Times New Roman"/>
                <w:sz w:val="24"/>
                <w:highlight w:val="none"/>
                <w:lang w:val="en" w:eastAsia="zh-CN"/>
              </w:rPr>
            </w:pPr>
            <w:r>
              <w:rPr>
                <w:rFonts w:hint="eastAsia" w:ascii="Times New Roman" w:hAnsi="Times New Roman" w:eastAsia="仿宋_GB2312" w:cs="Times New Roman"/>
                <w:b w:val="0"/>
                <w:color w:val="000000"/>
                <w:sz w:val="24"/>
                <w:szCs w:val="24"/>
                <w:lang w:val="en-US" w:eastAsia="zh-CN"/>
              </w:rPr>
              <w:t>67665.34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 xml:space="preserve">    地区生产总值增速（%）</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 w:eastAsia="zh-CN" w:bidi="ar-SA"/>
              </w:rPr>
            </w:pPr>
            <w:r>
              <w:rPr>
                <w:rFonts w:hint="default" w:ascii="Times New Roman" w:hAnsi="Times New Roman" w:cs="Times New Roman"/>
                <w:sz w:val="24"/>
                <w:highlight w:val="none"/>
                <w:lang w:val="en-US" w:eastAsia="zh-CN"/>
              </w:rPr>
              <w:t>6.0</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5.7</w:t>
            </w:r>
          </w:p>
        </w:tc>
        <w:tc>
          <w:tcPr>
            <w:tcW w:w="1534" w:type="dxa"/>
            <w:gridSpan w:val="3"/>
            <w:noWrap/>
            <w:vAlign w:val="center"/>
          </w:tcPr>
          <w:p>
            <w:pPr>
              <w:spacing w:line="400" w:lineRule="exact"/>
              <w:jc w:val="right"/>
              <w:rPr>
                <w:rFonts w:hint="default" w:ascii="Times New Roman" w:hAnsi="Times New Roman" w:eastAsia="仿宋_GB2312" w:cs="Times New Roman"/>
                <w:sz w:val="24"/>
                <w:highlight w:val="none"/>
                <w:lang w:val="en-US" w:eastAsia="zh-CN"/>
              </w:rPr>
            </w:pPr>
            <w:r>
              <w:rPr>
                <w:rFonts w:hint="eastAsia" w:ascii="Times New Roman" w:hAnsi="Times New Roman" w:eastAsia="仿宋_GB2312" w:cs="Times New Roman"/>
                <w:b w:val="0"/>
                <w:color w:val="000000"/>
                <w:sz w:val="24"/>
                <w:szCs w:val="24"/>
                <w:lang w:val="en-US" w:eastAsia="zh-CN"/>
              </w:rPr>
              <w:t>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 xml:space="preserve">    第一产业增加值（亿元）</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6056.64</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5619.9</w:t>
            </w:r>
          </w:p>
        </w:tc>
        <w:tc>
          <w:tcPr>
            <w:tcW w:w="1534" w:type="dxa"/>
            <w:gridSpan w:val="3"/>
            <w:noWrap/>
            <w:vAlign w:val="center"/>
          </w:tcPr>
          <w:p>
            <w:pPr>
              <w:spacing w:line="400" w:lineRule="exact"/>
              <w:jc w:val="right"/>
              <w:rPr>
                <w:rFonts w:hint="default" w:ascii="Times New Roman" w:hAnsi="Times New Roman" w:eastAsia="仿宋_GB2312" w:cs="Times New Roman"/>
                <w:sz w:val="24"/>
                <w:highlight w:val="none"/>
                <w:lang w:val="en-US" w:eastAsia="zh-CN"/>
              </w:rPr>
            </w:pPr>
            <w:r>
              <w:rPr>
                <w:rFonts w:hint="eastAsia" w:ascii="Times New Roman" w:hAnsi="Times New Roman" w:eastAsia="仿宋_GB2312" w:cs="Times New Roman"/>
                <w:b w:val="0"/>
                <w:color w:val="000000"/>
                <w:sz w:val="24"/>
                <w:szCs w:val="24"/>
                <w:lang w:val="en-US" w:eastAsia="zh-CN"/>
              </w:rPr>
              <w:t>5751.35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 xml:space="preserve">    第二产业增加值（亿元）</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21306.70</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22816.9</w:t>
            </w:r>
          </w:p>
        </w:tc>
        <w:tc>
          <w:tcPr>
            <w:tcW w:w="1534" w:type="dxa"/>
            <w:gridSpan w:val="3"/>
            <w:noWrap/>
            <w:vAlign w:val="center"/>
          </w:tcPr>
          <w:p>
            <w:pPr>
              <w:spacing w:line="240" w:lineRule="auto"/>
              <w:ind w:firstLine="0" w:firstLineChars="0"/>
              <w:jc w:val="right"/>
              <w:rPr>
                <w:rFonts w:hint="default" w:ascii="Times New Roman" w:hAnsi="Times New Roman" w:eastAsia="仿宋_GB2312" w:cs="Times New Roman"/>
                <w:sz w:val="24"/>
                <w:highlight w:val="none"/>
                <w:lang w:val="en-US" w:eastAsia="zh-CN"/>
              </w:rPr>
            </w:pPr>
            <w:r>
              <w:rPr>
                <w:rFonts w:hint="eastAsia" w:ascii="Times New Roman" w:hAnsi="Times New Roman" w:eastAsia="仿宋_GB2312" w:cs="Times New Roman"/>
                <w:b w:val="0"/>
                <w:color w:val="000000"/>
                <w:sz w:val="24"/>
                <w:szCs w:val="24"/>
                <w:lang w:val="en-US" w:eastAsia="zh-CN"/>
              </w:rPr>
              <w:t>23260.22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 xml:space="preserve">    第三产业增加值（亿元）</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32769.54</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36260.2</w:t>
            </w:r>
          </w:p>
        </w:tc>
        <w:tc>
          <w:tcPr>
            <w:tcW w:w="1534" w:type="dxa"/>
            <w:gridSpan w:val="3"/>
            <w:noWrap/>
            <w:vAlign w:val="center"/>
          </w:tcPr>
          <w:p>
            <w:pPr>
              <w:spacing w:line="240" w:lineRule="auto"/>
              <w:ind w:firstLine="0" w:firstLineChars="0"/>
              <w:jc w:val="right"/>
              <w:rPr>
                <w:rFonts w:hint="default" w:ascii="Times New Roman" w:hAnsi="Times New Roman" w:eastAsia="仿宋_GB2312" w:cs="Times New Roman"/>
                <w:sz w:val="24"/>
                <w:highlight w:val="none"/>
                <w:lang w:val="en-US" w:eastAsia="zh-CN"/>
              </w:rPr>
            </w:pPr>
            <w:r>
              <w:rPr>
                <w:rFonts w:hint="eastAsia" w:ascii="Times New Roman" w:hAnsi="Times New Roman" w:eastAsia="仿宋_GB2312" w:cs="Times New Roman"/>
                <w:b w:val="0"/>
                <w:color w:val="000000"/>
                <w:sz w:val="24"/>
                <w:szCs w:val="24"/>
                <w:lang w:val="en-US" w:eastAsia="zh-CN"/>
              </w:rPr>
              <w:t>38653.77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产业结构</w:t>
            </w:r>
          </w:p>
        </w:tc>
        <w:tc>
          <w:tcPr>
            <w:tcW w:w="1552" w:type="dxa"/>
            <w:gridSpan w:val="3"/>
            <w:noWrap/>
            <w:vAlign w:val="center"/>
          </w:tcPr>
          <w:p>
            <w:pPr>
              <w:spacing w:line="400" w:lineRule="exact"/>
              <w:ind w:left="640" w:leftChars="0"/>
              <w:jc w:val="right"/>
              <w:rPr>
                <w:rFonts w:hint="default" w:ascii="Times New Roman" w:hAnsi="Times New Roman" w:eastAsia="仿宋_GB2312" w:cs="Times New Roman"/>
                <w:kern w:val="2"/>
                <w:sz w:val="24"/>
                <w:szCs w:val="24"/>
                <w:highlight w:val="none"/>
                <w:lang w:val="en-US" w:eastAsia="zh-CN" w:bidi="ar-SA"/>
              </w:rPr>
            </w:pPr>
          </w:p>
        </w:tc>
        <w:tc>
          <w:tcPr>
            <w:tcW w:w="1722" w:type="dxa"/>
            <w:gridSpan w:val="2"/>
            <w:noWrap/>
            <w:vAlign w:val="center"/>
          </w:tcPr>
          <w:p>
            <w:pPr>
              <w:spacing w:line="400" w:lineRule="exact"/>
              <w:ind w:left="640" w:leftChars="0"/>
              <w:jc w:val="right"/>
              <w:rPr>
                <w:rFonts w:hint="default" w:ascii="Times New Roman" w:hAnsi="Times New Roman" w:eastAsia="仿宋_GB2312" w:cs="Times New Roman"/>
                <w:kern w:val="2"/>
                <w:sz w:val="24"/>
                <w:szCs w:val="24"/>
                <w:highlight w:val="none"/>
                <w:lang w:val="en-US" w:eastAsia="zh-CN" w:bidi="ar-SA"/>
              </w:rPr>
            </w:pPr>
          </w:p>
        </w:tc>
        <w:tc>
          <w:tcPr>
            <w:tcW w:w="1534" w:type="dxa"/>
            <w:gridSpan w:val="3"/>
            <w:noWrap/>
            <w:vAlign w:val="center"/>
          </w:tcPr>
          <w:p>
            <w:pPr>
              <w:spacing w:line="400" w:lineRule="exact"/>
              <w:ind w:left="640" w:leftChars="0"/>
              <w:jc w:val="right"/>
              <w:rPr>
                <w:rFonts w:hint="default" w:ascii="Times New Roman" w:hAnsi="Times New Roman" w:eastAsia="仿宋_GB2312" w:cs="Times New Roman"/>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 xml:space="preserve">    第一产业增加值比重（%）</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10.1</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8.7</w:t>
            </w:r>
          </w:p>
        </w:tc>
        <w:tc>
          <w:tcPr>
            <w:tcW w:w="1534"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cs="Times New Roman"/>
                <w:kern w:val="2"/>
                <w:sz w:val="24"/>
                <w:szCs w:val="24"/>
                <w:highlight w:val="none"/>
                <w:lang w:val="en" w:eastAsia="zh-CN" w:bidi="ar-SA"/>
              </w:rPr>
              <w:t>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 xml:space="preserve">    第二产业增加值比重（%）</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35.4</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35.3</w:t>
            </w:r>
          </w:p>
        </w:tc>
        <w:tc>
          <w:tcPr>
            <w:tcW w:w="1534"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cs="Times New Roman"/>
                <w:kern w:val="2"/>
                <w:sz w:val="24"/>
                <w:szCs w:val="24"/>
                <w:highlight w:val="none"/>
                <w:lang w:val="en" w:eastAsia="zh-CN" w:bidi="ar-SA"/>
              </w:rPr>
              <w:t>34.4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 xml:space="preserve">    第三产业增加值比重（%）</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54.5</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56.0</w:t>
            </w:r>
          </w:p>
        </w:tc>
        <w:tc>
          <w:tcPr>
            <w:tcW w:w="1534"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cs="Times New Roman"/>
                <w:kern w:val="2"/>
                <w:sz w:val="24"/>
                <w:szCs w:val="24"/>
                <w:highlight w:val="none"/>
                <w:lang w:val="en" w:eastAsia="zh-CN" w:bidi="ar-SA"/>
              </w:rPr>
              <w:t>57.1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全社会固定资产投资增速（%）</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4.4</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2.4</w:t>
            </w:r>
          </w:p>
        </w:tc>
        <w:tc>
          <w:tcPr>
            <w:tcW w:w="1534"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cs="Times New Roman"/>
                <w:kern w:val="2"/>
                <w:sz w:val="24"/>
                <w:szCs w:val="24"/>
                <w:highlight w:val="none"/>
                <w:lang w:val="en" w:eastAsia="zh-CN" w:bidi="ar-SA"/>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进出口总额（亿元）</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9574.9</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10457.2</w:t>
            </w:r>
          </w:p>
        </w:tc>
        <w:tc>
          <w:tcPr>
            <w:tcW w:w="1534"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ascii="Times New Roman" w:hAnsi="Times New Roman" w:eastAsia="仿宋_GB2312" w:cs="Times New Roman"/>
                <w:b w:val="0"/>
                <w:color w:val="000000"/>
                <w:sz w:val="24"/>
                <w:szCs w:val="24"/>
                <w:lang w:val="en-US" w:eastAsia="zh-CN"/>
              </w:rPr>
              <w:t>10318.1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 xml:space="preserve">    出口额（亿元）</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6033.9</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6177.7</w:t>
            </w:r>
          </w:p>
        </w:tc>
        <w:tc>
          <w:tcPr>
            <w:tcW w:w="1534" w:type="dxa"/>
            <w:gridSpan w:val="3"/>
            <w:noWrap/>
            <w:vAlign w:val="center"/>
          </w:tcPr>
          <w:p>
            <w:pPr>
              <w:spacing w:line="240" w:lineRule="auto"/>
              <w:ind w:firstLine="0" w:firstLineChars="0"/>
              <w:jc w:val="right"/>
              <w:rPr>
                <w:rFonts w:hint="default" w:ascii="Times New Roman" w:hAnsi="Times New Roman" w:eastAsia="仿宋_GB2312" w:cs="Times New Roman"/>
                <w:kern w:val="2"/>
                <w:sz w:val="24"/>
                <w:szCs w:val="24"/>
                <w:highlight w:val="none"/>
                <w:lang w:val="en" w:eastAsia="zh-CN" w:bidi="ar-SA"/>
              </w:rPr>
            </w:pPr>
            <w:r>
              <w:rPr>
                <w:rFonts w:hint="eastAsia" w:ascii="Times New Roman" w:hAnsi="Times New Roman" w:eastAsia="仿宋_GB2312" w:cs="Times New Roman"/>
                <w:b w:val="0"/>
                <w:color w:val="000000"/>
                <w:sz w:val="24"/>
                <w:szCs w:val="24"/>
                <w:lang w:val="en-US" w:eastAsia="zh-CN"/>
              </w:rPr>
              <w:t>6086.5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 xml:space="preserve">    进口额（亿元）</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3541.0</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4279.5</w:t>
            </w:r>
          </w:p>
        </w:tc>
        <w:tc>
          <w:tcPr>
            <w:tcW w:w="1534" w:type="dxa"/>
            <w:gridSpan w:val="3"/>
            <w:noWrap/>
            <w:vAlign w:val="center"/>
          </w:tcPr>
          <w:p>
            <w:pPr>
              <w:spacing w:line="240" w:lineRule="auto"/>
              <w:ind w:firstLine="0" w:firstLineChars="0"/>
              <w:jc w:val="right"/>
              <w:rPr>
                <w:rFonts w:hint="default" w:ascii="Times New Roman" w:hAnsi="Times New Roman" w:eastAsia="仿宋_GB2312" w:cs="Times New Roman"/>
                <w:kern w:val="2"/>
                <w:sz w:val="24"/>
                <w:szCs w:val="24"/>
                <w:highlight w:val="none"/>
                <w:lang w:val="en" w:eastAsia="zh-CN" w:bidi="ar-SA"/>
              </w:rPr>
            </w:pPr>
            <w:r>
              <w:rPr>
                <w:rFonts w:hint="eastAsia" w:ascii="Times New Roman" w:hAnsi="Times New Roman" w:eastAsia="仿宋_GB2312" w:cs="Times New Roman"/>
                <w:b w:val="0"/>
                <w:color w:val="000000"/>
                <w:sz w:val="24"/>
                <w:szCs w:val="24"/>
                <w:lang w:val="en-US" w:eastAsia="zh-CN"/>
              </w:rPr>
              <w:t>4231.6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社会消费品零售总额（亿元）</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26313.4</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27709.8</w:t>
            </w:r>
          </w:p>
        </w:tc>
        <w:tc>
          <w:tcPr>
            <w:tcW w:w="1534" w:type="dxa"/>
            <w:gridSpan w:val="3"/>
            <w:noWrap/>
            <w:vAlign w:val="center"/>
          </w:tcPr>
          <w:p>
            <w:pPr>
              <w:spacing w:line="400" w:lineRule="exact"/>
              <w:jc w:val="right"/>
              <w:rPr>
                <w:rFonts w:hint="default" w:ascii="Times New Roman" w:hAnsi="Times New Roman" w:eastAsia="仿宋_GB2312" w:cs="Times New Roman"/>
                <w:kern w:val="2"/>
                <w:sz w:val="28"/>
                <w:szCs w:val="28"/>
                <w:highlight w:val="yellow"/>
                <w:lang w:val="en-US" w:eastAsia="zh-CN" w:bidi="ar-SA"/>
              </w:rPr>
            </w:pPr>
            <w:r>
              <w:rPr>
                <w:rFonts w:hint="eastAsia" w:ascii="Times New Roman" w:hAnsi="Times New Roman" w:eastAsia="仿宋_GB2312" w:cs="Times New Roman"/>
                <w:b w:val="0"/>
                <w:color w:val="000000"/>
                <w:sz w:val="24"/>
                <w:szCs w:val="24"/>
                <w:lang w:val="en-US" w:eastAsia="zh-CN"/>
              </w:rPr>
              <w:t>29135.4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城镇居民人均可支配收入（元）</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45227</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47336</w:t>
            </w:r>
          </w:p>
        </w:tc>
        <w:tc>
          <w:tcPr>
            <w:tcW w:w="1534"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cs="Times New Roman"/>
                <w:kern w:val="2"/>
                <w:sz w:val="24"/>
                <w:szCs w:val="24"/>
                <w:highlight w:val="none"/>
                <w:lang w:val="en" w:eastAsia="zh-CN" w:bidi="ar-SA"/>
              </w:rPr>
              <w:t>49</w:t>
            </w:r>
            <w:r>
              <w:rPr>
                <w:rFonts w:hint="eastAsia" w:cs="Times New Roman"/>
                <w:kern w:val="2"/>
                <w:sz w:val="24"/>
                <w:szCs w:val="24"/>
                <w:highlight w:val="none"/>
                <w:lang w:val="en-US" w:eastAsia="zh-CN" w:bidi="ar-SA"/>
              </w:rPr>
              <w:t>428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农村居民人均可支配收入（元）</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19978</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21303</w:t>
            </w:r>
          </w:p>
        </w:tc>
        <w:tc>
          <w:tcPr>
            <w:tcW w:w="1534"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cs="Times New Roman"/>
                <w:kern w:val="2"/>
                <w:sz w:val="24"/>
                <w:szCs w:val="24"/>
                <w:highlight w:val="none"/>
                <w:lang w:val="en" w:eastAsia="zh-CN" w:bidi="ar-SA"/>
              </w:rPr>
              <w:t>22494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居民消费价格指数（上年＝100）</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100.0</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100.0</w:t>
            </w:r>
          </w:p>
        </w:tc>
        <w:tc>
          <w:tcPr>
            <w:tcW w:w="1534"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cs="Times New Roman"/>
                <w:kern w:val="2"/>
                <w:sz w:val="24"/>
                <w:szCs w:val="24"/>
                <w:highlight w:val="none"/>
                <w:lang w:val="en" w:eastAsia="zh-CN" w:bidi="ar-SA"/>
              </w:rPr>
              <w:t>99.7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工业生产者出厂价格指数（上年＝100）</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97.6</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97.9</w:t>
            </w:r>
          </w:p>
        </w:tc>
        <w:tc>
          <w:tcPr>
            <w:tcW w:w="1534" w:type="dxa"/>
            <w:gridSpan w:val="3"/>
            <w:noWrap/>
            <w:vAlign w:val="center"/>
          </w:tcPr>
          <w:p>
            <w:pPr>
              <w:spacing w:line="400" w:lineRule="exact"/>
              <w:jc w:val="right"/>
              <w:rPr>
                <w:rFonts w:hint="default" w:ascii="Times New Roman" w:hAnsi="Times New Roman" w:eastAsia="仿宋_GB2312" w:cs="Times New Roman"/>
                <w:sz w:val="24"/>
                <w:highlight w:val="none"/>
                <w:lang w:val="en-US" w:eastAsia="zh-CN"/>
              </w:rPr>
            </w:pPr>
            <w:r>
              <w:rPr>
                <w:rFonts w:hint="default" w:cs="Times New Roman"/>
                <w:sz w:val="24"/>
                <w:highlight w:val="none"/>
                <w:lang w:val="en" w:eastAsia="zh-CN"/>
              </w:rPr>
              <w:t>97.2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工业生产者购进价格指数（上年＝100）</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97.1</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97.3</w:t>
            </w:r>
          </w:p>
        </w:tc>
        <w:tc>
          <w:tcPr>
            <w:tcW w:w="1534" w:type="dxa"/>
            <w:gridSpan w:val="3"/>
            <w:noWrap/>
            <w:vAlign w:val="center"/>
          </w:tcPr>
          <w:p>
            <w:pPr>
              <w:spacing w:line="400" w:lineRule="exact"/>
              <w:jc w:val="right"/>
              <w:rPr>
                <w:rFonts w:hint="default" w:ascii="Times New Roman" w:hAnsi="Times New Roman" w:eastAsia="仿宋_GB2312" w:cs="Times New Roman"/>
                <w:sz w:val="24"/>
                <w:highlight w:val="none"/>
                <w:lang w:val="en-US" w:eastAsia="zh-CN"/>
              </w:rPr>
            </w:pPr>
            <w:r>
              <w:rPr>
                <w:rFonts w:hint="default" w:cs="Times New Roman"/>
                <w:sz w:val="24"/>
                <w:highlight w:val="none"/>
                <w:lang w:val="en" w:eastAsia="zh-CN"/>
              </w:rPr>
              <w:t>96.4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4915" w:type="dxa"/>
            <w:gridSpan w:val="5"/>
            <w:noWrap/>
            <w:vAlign w:val="center"/>
          </w:tcPr>
          <w:p>
            <w:pPr>
              <w:widowControl/>
              <w:spacing w:line="400" w:lineRule="exact"/>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金融机构各项存款余额（本外币）（</w:t>
            </w:r>
            <w:r>
              <w:rPr>
                <w:rFonts w:hint="eastAsia" w:cs="Times New Roman"/>
                <w:kern w:val="0"/>
                <w:sz w:val="24"/>
                <w:highlight w:val="none"/>
                <w:lang w:val="en-US" w:eastAsia="zh-CN"/>
              </w:rPr>
              <w:t>万</w:t>
            </w:r>
            <w:r>
              <w:rPr>
                <w:rFonts w:hint="default" w:ascii="Times New Roman" w:hAnsi="Times New Roman" w:cs="Times New Roman"/>
                <w:kern w:val="0"/>
                <w:sz w:val="24"/>
                <w:highlight w:val="none"/>
              </w:rPr>
              <w:t>亿元）</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12</w:t>
            </w:r>
            <w:r>
              <w:rPr>
                <w:rFonts w:hint="eastAsia" w:cs="Times New Roman"/>
                <w:sz w:val="24"/>
                <w:highlight w:val="none"/>
                <w:lang w:val="en-US" w:eastAsia="zh-CN"/>
              </w:rPr>
              <w:t>.3</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13.3</w:t>
            </w:r>
          </w:p>
        </w:tc>
        <w:tc>
          <w:tcPr>
            <w:tcW w:w="1534" w:type="dxa"/>
            <w:gridSpan w:val="3"/>
            <w:noWrap/>
            <w:vAlign w:val="center"/>
          </w:tcPr>
          <w:p>
            <w:pPr>
              <w:spacing w:line="400" w:lineRule="exact"/>
              <w:jc w:val="right"/>
              <w:rPr>
                <w:rFonts w:hint="default" w:ascii="Times New Roman" w:hAnsi="Times New Roman" w:eastAsia="仿宋_GB2312" w:cs="Times New Roman"/>
                <w:sz w:val="24"/>
                <w:highlight w:val="none"/>
                <w:lang w:val="en-US" w:eastAsia="zh-CN"/>
              </w:rPr>
            </w:pPr>
            <w:r>
              <w:rPr>
                <w:rFonts w:hint="default" w:cs="Times New Roman"/>
                <w:sz w:val="24"/>
                <w:highlight w:val="none"/>
                <w:lang w:val="en" w:eastAsia="zh-CN"/>
              </w:rPr>
              <w:t>14.6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4915" w:type="dxa"/>
            <w:gridSpan w:val="5"/>
            <w:noWrap/>
            <w:vAlign w:val="center"/>
          </w:tcPr>
          <w:p>
            <w:pPr>
              <w:widowControl/>
              <w:spacing w:line="400" w:lineRule="exact"/>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金融机构各项贷款余额（本外币）（</w:t>
            </w:r>
            <w:r>
              <w:rPr>
                <w:rFonts w:hint="eastAsia" w:cs="Times New Roman"/>
                <w:kern w:val="0"/>
                <w:sz w:val="24"/>
                <w:highlight w:val="none"/>
                <w:lang w:val="en-US" w:eastAsia="zh-CN"/>
              </w:rPr>
              <w:t>万</w:t>
            </w:r>
            <w:r>
              <w:rPr>
                <w:rFonts w:hint="default" w:ascii="Times New Roman" w:hAnsi="Times New Roman" w:cs="Times New Roman"/>
                <w:kern w:val="0"/>
                <w:sz w:val="24"/>
                <w:highlight w:val="none"/>
              </w:rPr>
              <w:t>亿元）</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10</w:t>
            </w:r>
            <w:r>
              <w:rPr>
                <w:rFonts w:hint="eastAsia" w:cs="Times New Roman"/>
                <w:sz w:val="24"/>
                <w:highlight w:val="none"/>
                <w:lang w:val="en-US" w:eastAsia="zh-CN"/>
              </w:rPr>
              <w:t>.6</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11.7</w:t>
            </w:r>
          </w:p>
        </w:tc>
        <w:tc>
          <w:tcPr>
            <w:tcW w:w="1534" w:type="dxa"/>
            <w:gridSpan w:val="3"/>
            <w:noWrap/>
            <w:vAlign w:val="center"/>
          </w:tcPr>
          <w:p>
            <w:pPr>
              <w:spacing w:line="400" w:lineRule="exact"/>
              <w:jc w:val="right"/>
              <w:rPr>
                <w:rFonts w:hint="default" w:ascii="Times New Roman" w:hAnsi="Times New Roman" w:eastAsia="仿宋_GB2312" w:cs="Times New Roman"/>
                <w:sz w:val="24"/>
                <w:highlight w:val="none"/>
                <w:lang w:val="en-US" w:eastAsia="zh-CN"/>
              </w:rPr>
            </w:pPr>
            <w:r>
              <w:rPr>
                <w:rFonts w:hint="default" w:cs="Times New Roman"/>
                <w:sz w:val="24"/>
                <w:highlight w:val="none"/>
                <w:lang w:val="en" w:eastAsia="zh-CN"/>
              </w:rPr>
              <w:t>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8" w:hRule="exact"/>
        </w:trPr>
        <w:tc>
          <w:tcPr>
            <w:tcW w:w="9723" w:type="dxa"/>
            <w:gridSpan w:val="13"/>
            <w:noWrap w:val="0"/>
            <w:vAlign w:val="center"/>
          </w:tcPr>
          <w:p>
            <w:pPr>
              <w:widowControl/>
              <w:spacing w:line="400" w:lineRule="exact"/>
              <w:ind w:firstLine="482"/>
              <w:rPr>
                <w:rFonts w:hint="default" w:ascii="Times New Roman" w:hAnsi="Times New Roman" w:cs="Times New Roman"/>
                <w:b/>
                <w:kern w:val="0"/>
                <w:sz w:val="24"/>
                <w:highlight w:val="none"/>
              </w:rPr>
            </w:pPr>
            <w:r>
              <w:rPr>
                <w:rFonts w:hint="default" w:ascii="Times New Roman" w:hAnsi="Times New Roman" w:cs="Times New Roman"/>
                <w:b/>
                <w:kern w:val="0"/>
                <w:sz w:val="24"/>
                <w:highlight w:val="none"/>
              </w:rPr>
              <w:t xml:space="preserve">  二、财政收支状况（亿元）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9723" w:type="dxa"/>
            <w:gridSpan w:val="13"/>
            <w:noWrap w:val="0"/>
            <w:vAlign w:val="center"/>
          </w:tcPr>
          <w:p>
            <w:pPr>
              <w:widowControl/>
              <w:spacing w:line="400" w:lineRule="exact"/>
              <w:ind w:firstLine="482"/>
              <w:rPr>
                <w:rFonts w:hint="default" w:ascii="Times New Roman" w:hAnsi="Times New Roman" w:eastAsia="仿宋_GB2312" w:cs="Times New Roman"/>
                <w:b/>
                <w:kern w:val="0"/>
                <w:sz w:val="24"/>
                <w:highlight w:val="none"/>
              </w:rPr>
            </w:pPr>
            <w:r>
              <w:rPr>
                <w:rFonts w:hint="default" w:ascii="Times New Roman" w:hAnsi="Times New Roman" w:eastAsia="仿宋_GB2312" w:cs="Times New Roman"/>
                <w:b/>
                <w:kern w:val="0"/>
                <w:sz w:val="24"/>
                <w:highlight w:val="none"/>
              </w:rPr>
              <w:t>（一）近三年一般公共预算收支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0" w:hRule="exact"/>
        </w:trPr>
        <w:tc>
          <w:tcPr>
            <w:tcW w:w="3098" w:type="dxa"/>
            <w:vMerge w:val="restart"/>
            <w:noWrap w:val="0"/>
            <w:vAlign w:val="center"/>
          </w:tcPr>
          <w:p>
            <w:pPr>
              <w:widowControl/>
              <w:spacing w:line="400" w:lineRule="exact"/>
              <w:ind w:firstLine="480"/>
              <w:jc w:val="center"/>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mc:AlternateContent>
                <mc:Choice Requires="wps">
                  <w:drawing>
                    <wp:anchor distT="0" distB="0" distL="114300" distR="114300" simplePos="0" relativeHeight="251660288" behindDoc="0" locked="0" layoutInCell="1" allowOverlap="1">
                      <wp:simplePos x="0" y="0"/>
                      <wp:positionH relativeFrom="column">
                        <wp:posOffset>-61595</wp:posOffset>
                      </wp:positionH>
                      <wp:positionV relativeFrom="paragraph">
                        <wp:posOffset>-6350</wp:posOffset>
                      </wp:positionV>
                      <wp:extent cx="1960245" cy="610870"/>
                      <wp:effectExtent l="1270" t="4445" r="19685" b="13335"/>
                      <wp:wrapNone/>
                      <wp:docPr id="4" name="直接箭头连接符 4"/>
                      <wp:cNvGraphicFramePr/>
                      <a:graphic xmlns:a="http://schemas.openxmlformats.org/drawingml/2006/main">
                        <a:graphicData uri="http://schemas.microsoft.com/office/word/2010/wordprocessingShape">
                          <wps:wsp>
                            <wps:cNvCnPr/>
                            <wps:spPr>
                              <a:xfrm>
                                <a:off x="0" y="0"/>
                                <a:ext cx="1960245" cy="61087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4.85pt;margin-top:-0.5pt;height:48.1pt;width:154.35pt;z-index:251660288;mso-width-relative:page;mso-height-relative:page;" filled="f" stroked="t" coordsize="21600,21600" o:gfxdata="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FgAA&#10;AGRycy9QSwECFAAUAAAACACHTuJA0VycJdcAAAAIAQAADwAAAAAAAAABACAAAAA4AAAAZHJzL2Rv&#10;d25yZXYueG1sUEsBAhQAFAAAAAgAh07iQMAHk/vsAQAAsQMAAA4AAAAAAAAAAQAgAAAAPAEAAGRy&#10;cy9lMm9Eb2MueG1sUEsFBgAAAAAGAAYAWQEAAJoFAAAAAA==&#10;">
                      <v:fill on="f" focussize="0,0"/>
                      <v:stroke color="#000000" joinstyle="round"/>
                      <v:imagedata o:title=""/>
                      <o:lock v:ext="edit" aspectratio="f"/>
                    </v:shape>
                  </w:pict>
                </mc:Fallback>
              </mc:AlternateContent>
            </w:r>
            <w:r>
              <w:rPr>
                <w:rFonts w:hint="default" w:ascii="Times New Roman" w:hAnsi="Times New Roman" w:eastAsia="仿宋_GB2312" w:cs="Times New Roman"/>
                <w:kern w:val="0"/>
                <w:sz w:val="24"/>
                <w:highlight w:val="none"/>
              </w:rPr>
              <w:t xml:space="preserve">           年份</w:t>
            </w:r>
          </w:p>
          <w:p>
            <w:pPr>
              <w:spacing w:line="400" w:lineRule="exact"/>
              <w:ind w:firstLine="480"/>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项目</w:t>
            </w:r>
          </w:p>
        </w:tc>
        <w:tc>
          <w:tcPr>
            <w:tcW w:w="2282" w:type="dxa"/>
            <w:gridSpan w:val="5"/>
            <w:noWrap/>
            <w:vAlign w:val="center"/>
          </w:tcPr>
          <w:p>
            <w:pPr>
              <w:widowControl/>
              <w:spacing w:line="400" w:lineRule="exact"/>
              <w:ind w:firstLine="480" w:firstLineChars="0"/>
              <w:jc w:val="center"/>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202</w:t>
            </w:r>
            <w:r>
              <w:rPr>
                <w:rFonts w:hint="eastAsia" w:cs="Times New Roman"/>
                <w:kern w:val="0"/>
                <w:sz w:val="24"/>
                <w:highlight w:val="none"/>
                <w:lang w:val="en-US" w:eastAsia="zh-CN"/>
              </w:rPr>
              <w:t>4</w:t>
            </w:r>
            <w:r>
              <w:rPr>
                <w:rFonts w:hint="default" w:ascii="Times New Roman" w:hAnsi="Times New Roman" w:eastAsia="仿宋_GB2312" w:cs="Times New Roman"/>
                <w:kern w:val="0"/>
                <w:sz w:val="24"/>
                <w:highlight w:val="none"/>
              </w:rPr>
              <w:t>年</w:t>
            </w:r>
          </w:p>
        </w:tc>
        <w:tc>
          <w:tcPr>
            <w:tcW w:w="2213" w:type="dxa"/>
            <w:gridSpan w:val="3"/>
            <w:noWrap/>
            <w:vAlign w:val="center"/>
          </w:tcPr>
          <w:p>
            <w:pPr>
              <w:widowControl/>
              <w:spacing w:line="400" w:lineRule="exact"/>
              <w:ind w:firstLine="480" w:firstLineChars="0"/>
              <w:jc w:val="center"/>
              <w:rPr>
                <w:rFonts w:hint="default" w:ascii="Times New Roman" w:hAnsi="Times New Roman" w:eastAsia="仿宋_GB2312" w:cs="Times New Roman"/>
                <w:kern w:val="0"/>
                <w:sz w:val="24"/>
                <w:highlight w:val="none"/>
              </w:rPr>
            </w:pPr>
            <w:r>
              <w:rPr>
                <w:rFonts w:hint="eastAsia" w:cs="Times New Roman"/>
                <w:kern w:val="0"/>
                <w:sz w:val="24"/>
                <w:highlight w:val="none"/>
                <w:lang w:val="en" w:eastAsia="zh-CN"/>
              </w:rPr>
              <w:t>202</w:t>
            </w:r>
            <w:r>
              <w:rPr>
                <w:rFonts w:hint="eastAsia" w:cs="Times New Roman"/>
                <w:kern w:val="0"/>
                <w:sz w:val="24"/>
                <w:highlight w:val="none"/>
                <w:lang w:val="en-US" w:eastAsia="zh-CN"/>
              </w:rPr>
              <w:t>5</w:t>
            </w:r>
            <w:r>
              <w:rPr>
                <w:rFonts w:hint="eastAsia" w:cs="Times New Roman"/>
                <w:kern w:val="0"/>
                <w:sz w:val="24"/>
                <w:highlight w:val="none"/>
                <w:lang w:val="en" w:eastAsia="zh-CN"/>
              </w:rPr>
              <w:t>年</w:t>
            </w:r>
          </w:p>
        </w:tc>
        <w:tc>
          <w:tcPr>
            <w:tcW w:w="2130" w:type="dxa"/>
            <w:gridSpan w:val="4"/>
            <w:noWrap/>
            <w:vAlign w:val="center"/>
          </w:tcPr>
          <w:p>
            <w:pPr>
              <w:widowControl/>
              <w:spacing w:line="400" w:lineRule="exact"/>
              <w:ind w:firstLine="480" w:firstLineChars="0"/>
              <w:jc w:val="center"/>
              <w:rPr>
                <w:rFonts w:hint="eastAsia" w:ascii="Times New Roman" w:hAnsi="Times New Roman" w:eastAsia="仿宋_GB2312" w:cs="Times New Roman"/>
                <w:kern w:val="0"/>
                <w:sz w:val="24"/>
                <w:highlight w:val="none"/>
                <w:lang w:val="en" w:eastAsia="zh-CN"/>
              </w:rPr>
            </w:pPr>
            <w:r>
              <w:rPr>
                <w:rFonts w:hint="eastAsia" w:cs="Times New Roman"/>
                <w:kern w:val="0"/>
                <w:sz w:val="24"/>
                <w:highlight w:val="none"/>
                <w:lang w:val="en" w:eastAsia="zh-CN"/>
              </w:rPr>
              <w:t>202</w:t>
            </w:r>
            <w:r>
              <w:rPr>
                <w:rFonts w:hint="eastAsia" w:cs="Times New Roman"/>
                <w:kern w:val="0"/>
                <w:sz w:val="24"/>
                <w:highlight w:val="none"/>
                <w:lang w:val="en-US" w:eastAsia="zh-CN"/>
              </w:rPr>
              <w:t>6</w:t>
            </w:r>
            <w:r>
              <w:rPr>
                <w:rFonts w:hint="eastAsia" w:cs="Times New Roman"/>
                <w:kern w:val="0"/>
                <w:sz w:val="24"/>
                <w:highlight w:val="none"/>
                <w:lang w:val="en" w:eastAsia="zh-CN"/>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7" w:hRule="exact"/>
        </w:trPr>
        <w:tc>
          <w:tcPr>
            <w:tcW w:w="3098" w:type="dxa"/>
            <w:vMerge w:val="continue"/>
            <w:noWrap w:val="0"/>
            <w:vAlign w:val="center"/>
          </w:tcPr>
          <w:p>
            <w:pPr>
              <w:widowControl/>
              <w:spacing w:line="400" w:lineRule="exact"/>
              <w:ind w:firstLine="480"/>
              <w:jc w:val="center"/>
              <w:rPr>
                <w:rFonts w:hint="default" w:ascii="Times New Roman" w:hAnsi="Times New Roman" w:eastAsia="仿宋_GB2312" w:cs="Times New Roman"/>
                <w:kern w:val="0"/>
                <w:sz w:val="24"/>
                <w:highlight w:val="none"/>
              </w:rPr>
            </w:pPr>
          </w:p>
        </w:tc>
        <w:tc>
          <w:tcPr>
            <w:tcW w:w="1120" w:type="dxa"/>
            <w:noWrap/>
            <w:vAlign w:val="center"/>
          </w:tcPr>
          <w:p>
            <w:pPr>
              <w:widowControl/>
              <w:spacing w:line="400" w:lineRule="exact"/>
              <w:jc w:val="center"/>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省本级</w:t>
            </w:r>
          </w:p>
        </w:tc>
        <w:tc>
          <w:tcPr>
            <w:tcW w:w="1162" w:type="dxa"/>
            <w:gridSpan w:val="4"/>
            <w:noWrap w:val="0"/>
            <w:vAlign w:val="center"/>
          </w:tcPr>
          <w:p>
            <w:pPr>
              <w:widowControl/>
              <w:spacing w:line="400" w:lineRule="exact"/>
              <w:jc w:val="center"/>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全省</w:t>
            </w:r>
          </w:p>
        </w:tc>
        <w:tc>
          <w:tcPr>
            <w:tcW w:w="1031" w:type="dxa"/>
            <w:noWrap/>
            <w:vAlign w:val="center"/>
          </w:tcPr>
          <w:p>
            <w:pPr>
              <w:widowControl/>
              <w:spacing w:line="400" w:lineRule="exact"/>
              <w:jc w:val="center"/>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省本级</w:t>
            </w:r>
          </w:p>
        </w:tc>
        <w:tc>
          <w:tcPr>
            <w:tcW w:w="1182" w:type="dxa"/>
            <w:gridSpan w:val="2"/>
            <w:noWrap w:val="0"/>
            <w:vAlign w:val="center"/>
          </w:tcPr>
          <w:p>
            <w:pPr>
              <w:widowControl/>
              <w:spacing w:line="400" w:lineRule="exact"/>
              <w:jc w:val="center"/>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全省</w:t>
            </w:r>
          </w:p>
        </w:tc>
        <w:tc>
          <w:tcPr>
            <w:tcW w:w="993" w:type="dxa"/>
            <w:gridSpan w:val="2"/>
            <w:noWrap/>
            <w:vAlign w:val="center"/>
          </w:tcPr>
          <w:p>
            <w:pPr>
              <w:widowControl/>
              <w:spacing w:line="400" w:lineRule="exact"/>
              <w:jc w:val="center"/>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省本级</w:t>
            </w:r>
          </w:p>
        </w:tc>
        <w:tc>
          <w:tcPr>
            <w:tcW w:w="1137" w:type="dxa"/>
            <w:gridSpan w:val="2"/>
            <w:noWrap w:val="0"/>
            <w:vAlign w:val="center"/>
          </w:tcPr>
          <w:p>
            <w:pPr>
              <w:widowControl/>
              <w:spacing w:line="400" w:lineRule="exact"/>
              <w:jc w:val="center"/>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全省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3098" w:type="dxa"/>
            <w:noWrap w:val="0"/>
            <w:vAlign w:val="center"/>
          </w:tcPr>
          <w:p>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一般公共预算收入</w:t>
            </w:r>
          </w:p>
        </w:tc>
        <w:tc>
          <w:tcPr>
            <w:tcW w:w="1120" w:type="dxa"/>
            <w:noWrap/>
            <w:vAlign w:val="center"/>
          </w:tcPr>
          <w:p>
            <w:pPr>
              <w:keepNext w:val="0"/>
              <w:keepLines w:val="0"/>
              <w:widowControl/>
              <w:suppressLineNumbers w:val="0"/>
              <w:jc w:val="right"/>
              <w:textAlignment w:val="center"/>
              <w:rPr>
                <w:rFonts w:hint="default" w:ascii="Times New Roman" w:hAnsi="Times New Roman" w:eastAsia="仿宋_GB2312" w:cs="Times New Roman"/>
                <w:kern w:val="0"/>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975.7 </w:t>
            </w:r>
          </w:p>
        </w:tc>
        <w:tc>
          <w:tcPr>
            <w:tcW w:w="1162" w:type="dxa"/>
            <w:gridSpan w:val="4"/>
            <w:noWrap w:val="0"/>
            <w:vAlign w:val="center"/>
          </w:tcPr>
          <w:p>
            <w:pPr>
              <w:keepNext w:val="0"/>
              <w:keepLines w:val="0"/>
              <w:widowControl/>
              <w:suppressLineNumbers w:val="0"/>
              <w:jc w:val="right"/>
              <w:textAlignment w:val="center"/>
              <w:rPr>
                <w:rFonts w:hint="default" w:ascii="Times New Roman" w:hAnsi="Times New Roman" w:eastAsia="仿宋_GB2312" w:cs="Times New Roman"/>
                <w:kern w:val="0"/>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5635.6 </w:t>
            </w:r>
          </w:p>
        </w:tc>
        <w:tc>
          <w:tcPr>
            <w:tcW w:w="1031" w:type="dxa"/>
            <w:noWrap/>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1014.8</w:t>
            </w:r>
          </w:p>
        </w:tc>
        <w:tc>
          <w:tcPr>
            <w:tcW w:w="1182" w:type="dxa"/>
            <w:gridSpan w:val="2"/>
            <w:noWrap w:val="0"/>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5849.2</w:t>
            </w:r>
          </w:p>
        </w:tc>
        <w:tc>
          <w:tcPr>
            <w:tcW w:w="993" w:type="dxa"/>
            <w:gridSpan w:val="2"/>
            <w:noWrap/>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1030.0 </w:t>
            </w:r>
          </w:p>
        </w:tc>
        <w:tc>
          <w:tcPr>
            <w:tcW w:w="1137" w:type="dxa"/>
            <w:gridSpan w:val="2"/>
            <w:noWrap w:val="0"/>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5971.0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3098" w:type="dxa"/>
            <w:noWrap w:val="0"/>
            <w:vAlign w:val="center"/>
          </w:tcPr>
          <w:p>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一般公共预算支出</w:t>
            </w:r>
          </w:p>
        </w:tc>
        <w:tc>
          <w:tcPr>
            <w:tcW w:w="1120" w:type="dxa"/>
            <w:noWrap/>
            <w:vAlign w:val="center"/>
          </w:tcPr>
          <w:p>
            <w:pPr>
              <w:keepNext w:val="0"/>
              <w:keepLines w:val="0"/>
              <w:widowControl/>
              <w:suppressLineNumbers w:val="0"/>
              <w:jc w:val="right"/>
              <w:textAlignment w:val="center"/>
              <w:rPr>
                <w:rFonts w:hint="default" w:ascii="Times New Roman" w:hAnsi="Times New Roman" w:eastAsia="仿宋_GB2312" w:cs="Times New Roman"/>
                <w:kern w:val="0"/>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2241.9 </w:t>
            </w:r>
          </w:p>
        </w:tc>
        <w:tc>
          <w:tcPr>
            <w:tcW w:w="1162" w:type="dxa"/>
            <w:gridSpan w:val="4"/>
            <w:noWrap w:val="0"/>
            <w:vAlign w:val="center"/>
          </w:tcPr>
          <w:p>
            <w:pPr>
              <w:keepNext w:val="0"/>
              <w:keepLines w:val="0"/>
              <w:widowControl/>
              <w:suppressLineNumbers w:val="0"/>
              <w:jc w:val="right"/>
              <w:textAlignment w:val="center"/>
              <w:rPr>
                <w:rFonts w:hint="default" w:ascii="Times New Roman" w:hAnsi="Times New Roman" w:eastAsia="仿宋_GB2312" w:cs="Times New Roman"/>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13447.2 </w:t>
            </w:r>
          </w:p>
        </w:tc>
        <w:tc>
          <w:tcPr>
            <w:tcW w:w="1031" w:type="dxa"/>
            <w:noWrap/>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2281.6</w:t>
            </w:r>
          </w:p>
        </w:tc>
        <w:tc>
          <w:tcPr>
            <w:tcW w:w="1182" w:type="dxa"/>
            <w:gridSpan w:val="2"/>
            <w:noWrap w:val="0"/>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13697.6</w:t>
            </w:r>
          </w:p>
        </w:tc>
        <w:tc>
          <w:tcPr>
            <w:tcW w:w="993" w:type="dxa"/>
            <w:gridSpan w:val="2"/>
            <w:noWrap/>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2425.7 </w:t>
            </w:r>
          </w:p>
        </w:tc>
        <w:tc>
          <w:tcPr>
            <w:tcW w:w="1137" w:type="dxa"/>
            <w:gridSpan w:val="2"/>
            <w:noWrap w:val="0"/>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14136.9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0" w:hRule="exact"/>
        </w:trPr>
        <w:tc>
          <w:tcPr>
            <w:tcW w:w="3098" w:type="dxa"/>
            <w:noWrap w:val="0"/>
            <w:vAlign w:val="center"/>
          </w:tcPr>
          <w:p>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转移性收入</w:t>
            </w:r>
          </w:p>
        </w:tc>
        <w:tc>
          <w:tcPr>
            <w:tcW w:w="1120" w:type="dxa"/>
            <w:noWrap/>
            <w:vAlign w:val="center"/>
          </w:tcPr>
          <w:p>
            <w:pPr>
              <w:keepNext w:val="0"/>
              <w:keepLines w:val="0"/>
              <w:widowControl/>
              <w:suppressLineNumbers w:val="0"/>
              <w:jc w:val="right"/>
              <w:textAlignment w:val="center"/>
              <w:rPr>
                <w:rFonts w:hint="default" w:ascii="Times New Roman" w:hAnsi="Times New Roman" w:eastAsia="仿宋_GB2312" w:cs="Times New Roman"/>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7863.7 </w:t>
            </w:r>
          </w:p>
        </w:tc>
        <w:tc>
          <w:tcPr>
            <w:tcW w:w="1162" w:type="dxa"/>
            <w:gridSpan w:val="4"/>
            <w:noWrap w:val="0"/>
            <w:vAlign w:val="center"/>
          </w:tcPr>
          <w:p>
            <w:pPr>
              <w:keepNext w:val="0"/>
              <w:keepLines w:val="0"/>
              <w:widowControl/>
              <w:suppressLineNumbers w:val="0"/>
              <w:jc w:val="right"/>
              <w:textAlignment w:val="center"/>
              <w:rPr>
                <w:rFonts w:hint="default" w:ascii="Times New Roman" w:hAnsi="Times New Roman" w:eastAsia="仿宋_GB2312" w:cs="Times New Roman"/>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9803.1 </w:t>
            </w:r>
          </w:p>
        </w:tc>
        <w:tc>
          <w:tcPr>
            <w:tcW w:w="1031" w:type="dxa"/>
            <w:noWrap/>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7798.8</w:t>
            </w:r>
          </w:p>
        </w:tc>
        <w:tc>
          <w:tcPr>
            <w:tcW w:w="1182" w:type="dxa"/>
            <w:gridSpan w:val="2"/>
            <w:noWrap w:val="0"/>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9879.9</w:t>
            </w:r>
          </w:p>
        </w:tc>
        <w:tc>
          <w:tcPr>
            <w:tcW w:w="993" w:type="dxa"/>
            <w:gridSpan w:val="2"/>
            <w:noWrap/>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7201.8 </w:t>
            </w:r>
          </w:p>
        </w:tc>
        <w:tc>
          <w:tcPr>
            <w:tcW w:w="1137" w:type="dxa"/>
            <w:gridSpan w:val="2"/>
            <w:noWrap w:val="0"/>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8060.4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2" w:hRule="exact"/>
        </w:trPr>
        <w:tc>
          <w:tcPr>
            <w:tcW w:w="3098" w:type="dxa"/>
            <w:noWrap w:val="0"/>
            <w:vAlign w:val="center"/>
          </w:tcPr>
          <w:p>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转移性支出</w:t>
            </w:r>
          </w:p>
        </w:tc>
        <w:tc>
          <w:tcPr>
            <w:tcW w:w="1120" w:type="dxa"/>
            <w:noWrap/>
            <w:vAlign w:val="center"/>
          </w:tcPr>
          <w:p>
            <w:pPr>
              <w:keepNext w:val="0"/>
              <w:keepLines w:val="0"/>
              <w:widowControl/>
              <w:suppressLineNumbers w:val="0"/>
              <w:jc w:val="right"/>
              <w:textAlignment w:val="center"/>
              <w:rPr>
                <w:rFonts w:hint="default" w:ascii="Times New Roman" w:hAnsi="Times New Roman" w:eastAsia="仿宋_GB2312" w:cs="Times New Roman"/>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7197.8 </w:t>
            </w:r>
          </w:p>
        </w:tc>
        <w:tc>
          <w:tcPr>
            <w:tcW w:w="1162" w:type="dxa"/>
            <w:gridSpan w:val="4"/>
            <w:noWrap w:val="0"/>
            <w:vAlign w:val="center"/>
          </w:tcPr>
          <w:p>
            <w:pPr>
              <w:keepNext w:val="0"/>
              <w:keepLines w:val="0"/>
              <w:widowControl/>
              <w:suppressLineNumbers w:val="0"/>
              <w:jc w:val="right"/>
              <w:textAlignment w:val="center"/>
              <w:rPr>
                <w:rFonts w:hint="default" w:ascii="Times New Roman" w:hAnsi="Times New Roman" w:eastAsia="仿宋_GB2312" w:cs="Times New Roman"/>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929.7 </w:t>
            </w:r>
          </w:p>
        </w:tc>
        <w:tc>
          <w:tcPr>
            <w:tcW w:w="1031" w:type="dxa"/>
            <w:noWrap/>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7373.2</w:t>
            </w:r>
          </w:p>
        </w:tc>
        <w:tc>
          <w:tcPr>
            <w:tcW w:w="1182" w:type="dxa"/>
            <w:gridSpan w:val="2"/>
            <w:noWrap w:val="0"/>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1019.0</w:t>
            </w:r>
          </w:p>
        </w:tc>
        <w:tc>
          <w:tcPr>
            <w:tcW w:w="993" w:type="dxa"/>
            <w:gridSpan w:val="2"/>
            <w:noWrap/>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6577.7 </w:t>
            </w:r>
          </w:p>
        </w:tc>
        <w:tc>
          <w:tcPr>
            <w:tcW w:w="1137" w:type="dxa"/>
            <w:gridSpan w:val="2"/>
            <w:noWrap w:val="0"/>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83.0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0" w:hRule="exact"/>
        </w:trPr>
        <w:tc>
          <w:tcPr>
            <w:tcW w:w="3098" w:type="dxa"/>
            <w:noWrap w:val="0"/>
            <w:vAlign w:val="center"/>
          </w:tcPr>
          <w:p>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地方政府一般债券收入</w:t>
            </w:r>
          </w:p>
        </w:tc>
        <w:tc>
          <w:tcPr>
            <w:tcW w:w="1120" w:type="dxa"/>
            <w:noWrap/>
            <w:vAlign w:val="center"/>
          </w:tcPr>
          <w:p>
            <w:pPr>
              <w:keepNext w:val="0"/>
              <w:keepLines w:val="0"/>
              <w:widowControl/>
              <w:suppressLineNumbers w:val="0"/>
              <w:jc w:val="right"/>
              <w:textAlignment w:val="center"/>
              <w:rPr>
                <w:rFonts w:hint="default" w:ascii="Times New Roman" w:hAnsi="Times New Roman" w:eastAsia="仿宋_GB2312" w:cs="Times New Roman"/>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1061.7 </w:t>
            </w:r>
          </w:p>
        </w:tc>
        <w:tc>
          <w:tcPr>
            <w:tcW w:w="1162" w:type="dxa"/>
            <w:gridSpan w:val="4"/>
            <w:noWrap w:val="0"/>
            <w:vAlign w:val="center"/>
          </w:tcPr>
          <w:p>
            <w:pPr>
              <w:keepNext w:val="0"/>
              <w:keepLines w:val="0"/>
              <w:widowControl/>
              <w:suppressLineNumbers w:val="0"/>
              <w:jc w:val="right"/>
              <w:textAlignment w:val="center"/>
              <w:rPr>
                <w:rFonts w:hint="default" w:ascii="Times New Roman" w:hAnsi="Times New Roman" w:eastAsia="仿宋_GB2312" w:cs="Times New Roman"/>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1061.7 </w:t>
            </w:r>
          </w:p>
        </w:tc>
        <w:tc>
          <w:tcPr>
            <w:tcW w:w="1031" w:type="dxa"/>
            <w:noWrap/>
            <w:vAlign w:val="center"/>
          </w:tcPr>
          <w:p>
            <w:pPr>
              <w:keepNext w:val="0"/>
              <w:keepLines w:val="0"/>
              <w:widowControl/>
              <w:suppressLineNumbers w:val="0"/>
              <w:jc w:val="right"/>
              <w:textAlignment w:val="center"/>
              <w:rPr>
                <w:rFonts w:hint="default" w:ascii="Times New Roman" w:hAnsi="Times New Roman" w:eastAsia="仿宋_GB2312" w:cs="Times New Roman"/>
                <w:sz w:val="24"/>
                <w:highlight w:val="none"/>
                <w:lang w:val="en-US" w:eastAsia="zh-CN"/>
              </w:rPr>
            </w:pPr>
            <w:r>
              <w:rPr>
                <w:rFonts w:hint="eastAsia" w:cs="Times New Roman"/>
                <w:sz w:val="24"/>
                <w:highlight w:val="none"/>
                <w:lang w:val="en-US" w:eastAsia="zh-CN"/>
              </w:rPr>
              <w:t>1349.9</w:t>
            </w:r>
          </w:p>
        </w:tc>
        <w:tc>
          <w:tcPr>
            <w:tcW w:w="1182" w:type="dxa"/>
            <w:gridSpan w:val="2"/>
            <w:noWrap w:val="0"/>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1349.9</w:t>
            </w:r>
          </w:p>
        </w:tc>
        <w:tc>
          <w:tcPr>
            <w:tcW w:w="993" w:type="dxa"/>
            <w:gridSpan w:val="2"/>
            <w:noWrap/>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905.7 </w:t>
            </w:r>
          </w:p>
        </w:tc>
        <w:tc>
          <w:tcPr>
            <w:tcW w:w="1137" w:type="dxa"/>
            <w:gridSpan w:val="2"/>
            <w:noWrap w:val="0"/>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905.7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6" w:hRule="exact"/>
        </w:trPr>
        <w:tc>
          <w:tcPr>
            <w:tcW w:w="9723" w:type="dxa"/>
            <w:gridSpan w:val="13"/>
            <w:noWrap w:val="0"/>
            <w:vAlign w:val="center"/>
          </w:tcPr>
          <w:p>
            <w:pPr>
              <w:widowControl/>
              <w:spacing w:line="400" w:lineRule="exact"/>
              <w:ind w:firstLine="482"/>
              <w:rPr>
                <w:rFonts w:hint="default" w:ascii="Times New Roman" w:hAnsi="Times New Roman" w:eastAsia="仿宋_GB2312" w:cs="Times New Roman"/>
                <w:b/>
                <w:kern w:val="0"/>
                <w:sz w:val="24"/>
                <w:highlight w:val="none"/>
              </w:rPr>
            </w:pPr>
            <w:r>
              <w:rPr>
                <w:rFonts w:hint="default" w:ascii="Times New Roman" w:hAnsi="Times New Roman" w:eastAsia="仿宋_GB2312" w:cs="Times New Roman"/>
                <w:b/>
                <w:kern w:val="0"/>
                <w:sz w:val="24"/>
                <w:highlight w:val="none"/>
              </w:rPr>
              <w:t>（二）近三年政府性基金</w:t>
            </w:r>
            <w:r>
              <w:rPr>
                <w:rFonts w:hint="default" w:ascii="Times New Roman" w:hAnsi="Times New Roman" w:eastAsia="仿宋_GB2312" w:cs="Times New Roman"/>
                <w:b/>
                <w:kern w:val="0"/>
                <w:sz w:val="24"/>
                <w:highlight w:val="none"/>
                <w:lang w:eastAsia="zh-CN"/>
              </w:rPr>
              <w:t>预算</w:t>
            </w:r>
            <w:r>
              <w:rPr>
                <w:rFonts w:hint="default" w:ascii="Times New Roman" w:hAnsi="Times New Roman" w:eastAsia="仿宋_GB2312" w:cs="Times New Roman"/>
                <w:b/>
                <w:kern w:val="0"/>
                <w:sz w:val="24"/>
                <w:highlight w:val="none"/>
              </w:rPr>
              <w:t>收支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3098" w:type="dxa"/>
            <w:noWrap w:val="0"/>
            <w:vAlign w:val="center"/>
          </w:tcPr>
          <w:p>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政府性基金</w:t>
            </w:r>
            <w:r>
              <w:rPr>
                <w:rFonts w:hint="default" w:ascii="Times New Roman" w:hAnsi="Times New Roman" w:cs="Times New Roman"/>
                <w:kern w:val="0"/>
                <w:sz w:val="24"/>
                <w:highlight w:val="none"/>
                <w:lang w:eastAsia="zh-CN"/>
              </w:rPr>
              <w:t>预算</w:t>
            </w:r>
            <w:r>
              <w:rPr>
                <w:rFonts w:hint="default" w:ascii="Times New Roman" w:hAnsi="Times New Roman" w:eastAsia="仿宋_GB2312" w:cs="Times New Roman"/>
                <w:kern w:val="0"/>
                <w:sz w:val="24"/>
                <w:highlight w:val="none"/>
              </w:rPr>
              <w:t>收入</w:t>
            </w:r>
          </w:p>
        </w:tc>
        <w:tc>
          <w:tcPr>
            <w:tcW w:w="1169" w:type="dxa"/>
            <w:gridSpan w:val="2"/>
            <w:noWrap/>
            <w:vAlign w:val="center"/>
          </w:tcPr>
          <w:p>
            <w:pPr>
              <w:keepNext w:val="0"/>
              <w:keepLines w:val="0"/>
              <w:widowControl/>
              <w:suppressLineNumbers w:val="0"/>
              <w:jc w:val="right"/>
              <w:textAlignment w:val="center"/>
              <w:rPr>
                <w:rFonts w:hint="default" w:ascii="Times New Roman" w:hAnsi="Times New Roman" w:eastAsia="仿宋_GB2312" w:cs="Times New Roman"/>
                <w:kern w:val="0"/>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131.9 </w:t>
            </w:r>
          </w:p>
        </w:tc>
        <w:tc>
          <w:tcPr>
            <w:tcW w:w="1113" w:type="dxa"/>
            <w:gridSpan w:val="3"/>
            <w:noWrap w:val="0"/>
            <w:vAlign w:val="center"/>
          </w:tcPr>
          <w:p>
            <w:pPr>
              <w:keepNext w:val="0"/>
              <w:keepLines w:val="0"/>
              <w:widowControl/>
              <w:suppressLineNumbers w:val="0"/>
              <w:jc w:val="right"/>
              <w:textAlignment w:val="center"/>
              <w:rPr>
                <w:rFonts w:hint="default" w:ascii="Times New Roman" w:hAnsi="Times New Roman" w:eastAsia="仿宋_GB2312" w:cs="Times New Roman"/>
                <w:kern w:val="0"/>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3761.2 </w:t>
            </w:r>
          </w:p>
        </w:tc>
        <w:tc>
          <w:tcPr>
            <w:tcW w:w="1087" w:type="dxa"/>
            <w:gridSpan w:val="2"/>
            <w:noWrap/>
            <w:vAlign w:val="center"/>
          </w:tcPr>
          <w:p>
            <w:pPr>
              <w:keepNext w:val="0"/>
              <w:keepLines w:val="0"/>
              <w:widowControl/>
              <w:suppressLineNumbers w:val="0"/>
              <w:jc w:val="right"/>
              <w:textAlignment w:val="center"/>
              <w:rPr>
                <w:rFonts w:hint="default" w:cs="Times New Roman"/>
                <w:color w:val="auto"/>
                <w:sz w:val="24"/>
                <w:highlight w:val="none"/>
                <w:lang w:val="en-US" w:eastAsia="zh-CN"/>
              </w:rPr>
            </w:pPr>
            <w:r>
              <w:rPr>
                <w:rFonts w:hint="eastAsia" w:cs="Times New Roman"/>
                <w:color w:val="auto"/>
                <w:sz w:val="24"/>
                <w:highlight w:val="none"/>
                <w:lang w:val="en-US" w:eastAsia="zh-CN"/>
              </w:rPr>
              <w:t>139.0</w:t>
            </w:r>
          </w:p>
        </w:tc>
        <w:tc>
          <w:tcPr>
            <w:tcW w:w="1126" w:type="dxa"/>
            <w:noWrap w:val="0"/>
            <w:vAlign w:val="center"/>
          </w:tcPr>
          <w:p>
            <w:pPr>
              <w:keepNext w:val="0"/>
              <w:keepLines w:val="0"/>
              <w:widowControl/>
              <w:suppressLineNumbers w:val="0"/>
              <w:jc w:val="right"/>
              <w:textAlignment w:val="center"/>
              <w:rPr>
                <w:rFonts w:hint="default" w:cs="Times New Roman"/>
                <w:color w:val="auto"/>
                <w:sz w:val="24"/>
                <w:highlight w:val="none"/>
                <w:lang w:val="en-US" w:eastAsia="zh-CN"/>
              </w:rPr>
            </w:pPr>
            <w:r>
              <w:rPr>
                <w:rFonts w:hint="eastAsia" w:cs="Times New Roman"/>
                <w:color w:val="auto"/>
                <w:sz w:val="24"/>
                <w:highlight w:val="none"/>
                <w:lang w:val="en-US" w:eastAsia="zh-CN"/>
              </w:rPr>
              <w:t>3789.9</w:t>
            </w:r>
          </w:p>
        </w:tc>
        <w:tc>
          <w:tcPr>
            <w:tcW w:w="993" w:type="dxa"/>
            <w:gridSpan w:val="2"/>
            <w:noWrap/>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128.0 </w:t>
            </w:r>
          </w:p>
        </w:tc>
        <w:tc>
          <w:tcPr>
            <w:tcW w:w="1137" w:type="dxa"/>
            <w:gridSpan w:val="2"/>
            <w:noWrap w:val="0"/>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3190.0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3098" w:type="dxa"/>
            <w:noWrap w:val="0"/>
            <w:vAlign w:val="center"/>
          </w:tcPr>
          <w:p>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政府性基金</w:t>
            </w:r>
            <w:r>
              <w:rPr>
                <w:rFonts w:hint="default" w:ascii="Times New Roman" w:hAnsi="Times New Roman" w:cs="Times New Roman"/>
                <w:kern w:val="0"/>
                <w:sz w:val="24"/>
                <w:highlight w:val="none"/>
                <w:lang w:eastAsia="zh-CN"/>
              </w:rPr>
              <w:t>预算</w:t>
            </w:r>
            <w:r>
              <w:rPr>
                <w:rFonts w:hint="default" w:ascii="Times New Roman" w:hAnsi="Times New Roman" w:eastAsia="仿宋_GB2312" w:cs="Times New Roman"/>
                <w:kern w:val="0"/>
                <w:sz w:val="24"/>
                <w:highlight w:val="none"/>
              </w:rPr>
              <w:t>支出</w:t>
            </w:r>
          </w:p>
        </w:tc>
        <w:tc>
          <w:tcPr>
            <w:tcW w:w="1169" w:type="dxa"/>
            <w:gridSpan w:val="2"/>
            <w:noWrap/>
            <w:vAlign w:val="center"/>
          </w:tcPr>
          <w:p>
            <w:pPr>
              <w:keepNext w:val="0"/>
              <w:keepLines w:val="0"/>
              <w:widowControl/>
              <w:suppressLineNumbers w:val="0"/>
              <w:jc w:val="right"/>
              <w:textAlignment w:val="center"/>
              <w:rPr>
                <w:rFonts w:hint="default" w:ascii="Times New Roman" w:hAnsi="Times New Roman" w:eastAsia="仿宋_GB2312" w:cs="Times New Roman"/>
                <w:kern w:val="0"/>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160.8 </w:t>
            </w:r>
          </w:p>
        </w:tc>
        <w:tc>
          <w:tcPr>
            <w:tcW w:w="1113" w:type="dxa"/>
            <w:gridSpan w:val="3"/>
            <w:noWrap w:val="0"/>
            <w:vAlign w:val="center"/>
          </w:tcPr>
          <w:p>
            <w:pPr>
              <w:keepNext w:val="0"/>
              <w:keepLines w:val="0"/>
              <w:widowControl/>
              <w:suppressLineNumbers w:val="0"/>
              <w:jc w:val="right"/>
              <w:textAlignment w:val="center"/>
              <w:rPr>
                <w:rFonts w:hint="default" w:ascii="Times New Roman" w:hAnsi="Times New Roman" w:eastAsia="仿宋_GB2312" w:cs="Times New Roman"/>
                <w:kern w:val="0"/>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6025.5 </w:t>
            </w:r>
          </w:p>
        </w:tc>
        <w:tc>
          <w:tcPr>
            <w:tcW w:w="1087" w:type="dxa"/>
            <w:gridSpan w:val="2"/>
            <w:noWrap/>
            <w:vAlign w:val="center"/>
          </w:tcPr>
          <w:p>
            <w:pPr>
              <w:keepNext w:val="0"/>
              <w:keepLines w:val="0"/>
              <w:widowControl/>
              <w:suppressLineNumbers w:val="0"/>
              <w:jc w:val="right"/>
              <w:textAlignment w:val="center"/>
              <w:rPr>
                <w:rFonts w:hint="default" w:cs="Times New Roman"/>
                <w:color w:val="auto"/>
                <w:sz w:val="24"/>
                <w:highlight w:val="none"/>
                <w:lang w:val="en-US" w:eastAsia="zh-CN"/>
              </w:rPr>
            </w:pPr>
            <w:r>
              <w:rPr>
                <w:rFonts w:hint="eastAsia" w:cs="Times New Roman"/>
                <w:color w:val="auto"/>
                <w:sz w:val="24"/>
                <w:highlight w:val="none"/>
                <w:lang w:val="en-US" w:eastAsia="zh-CN"/>
              </w:rPr>
              <w:t>112.7</w:t>
            </w:r>
          </w:p>
        </w:tc>
        <w:tc>
          <w:tcPr>
            <w:tcW w:w="1126" w:type="dxa"/>
            <w:noWrap w:val="0"/>
            <w:vAlign w:val="center"/>
          </w:tcPr>
          <w:p>
            <w:pPr>
              <w:keepNext w:val="0"/>
              <w:keepLines w:val="0"/>
              <w:widowControl/>
              <w:suppressLineNumbers w:val="0"/>
              <w:jc w:val="right"/>
              <w:textAlignment w:val="center"/>
              <w:rPr>
                <w:rFonts w:hint="default" w:cs="Times New Roman"/>
                <w:color w:val="auto"/>
                <w:sz w:val="24"/>
                <w:highlight w:val="none"/>
                <w:lang w:val="en-US" w:eastAsia="zh-CN"/>
              </w:rPr>
            </w:pPr>
            <w:r>
              <w:rPr>
                <w:rFonts w:hint="eastAsia" w:cs="Times New Roman"/>
                <w:color w:val="auto"/>
                <w:sz w:val="24"/>
                <w:highlight w:val="none"/>
                <w:lang w:val="en-US" w:eastAsia="zh-CN"/>
              </w:rPr>
              <w:t>5910.2</w:t>
            </w:r>
          </w:p>
        </w:tc>
        <w:tc>
          <w:tcPr>
            <w:tcW w:w="993" w:type="dxa"/>
            <w:gridSpan w:val="2"/>
            <w:noWrap/>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112.6 </w:t>
            </w:r>
          </w:p>
        </w:tc>
        <w:tc>
          <w:tcPr>
            <w:tcW w:w="1137" w:type="dxa"/>
            <w:gridSpan w:val="2"/>
            <w:noWrap w:val="0"/>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5700.8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0" w:hRule="exact"/>
        </w:trPr>
        <w:tc>
          <w:tcPr>
            <w:tcW w:w="3098" w:type="dxa"/>
            <w:noWrap w:val="0"/>
            <w:vAlign w:val="center"/>
          </w:tcPr>
          <w:p>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地方政府专项债券收入</w:t>
            </w:r>
          </w:p>
        </w:tc>
        <w:tc>
          <w:tcPr>
            <w:tcW w:w="1169" w:type="dxa"/>
            <w:gridSpan w:val="2"/>
            <w:noWrap/>
            <w:vAlign w:val="center"/>
          </w:tcPr>
          <w:p>
            <w:pPr>
              <w:keepNext w:val="0"/>
              <w:keepLines w:val="0"/>
              <w:widowControl/>
              <w:suppressLineNumbers w:val="0"/>
              <w:jc w:val="right"/>
              <w:textAlignment w:val="center"/>
              <w:rPr>
                <w:rFonts w:hint="default" w:ascii="Times New Roman" w:hAnsi="Times New Roman" w:eastAsia="仿宋_GB2312" w:cs="Times New Roman"/>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4017.5 </w:t>
            </w:r>
          </w:p>
        </w:tc>
        <w:tc>
          <w:tcPr>
            <w:tcW w:w="1113" w:type="dxa"/>
            <w:gridSpan w:val="3"/>
            <w:noWrap w:val="0"/>
            <w:vAlign w:val="center"/>
          </w:tcPr>
          <w:p>
            <w:pPr>
              <w:keepNext w:val="0"/>
              <w:keepLines w:val="0"/>
              <w:widowControl/>
              <w:suppressLineNumbers w:val="0"/>
              <w:jc w:val="right"/>
              <w:textAlignment w:val="center"/>
              <w:rPr>
                <w:rFonts w:hint="default" w:ascii="Times New Roman" w:hAnsi="Times New Roman" w:eastAsia="仿宋_GB2312" w:cs="Times New Roman"/>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4017.5 </w:t>
            </w:r>
          </w:p>
        </w:tc>
        <w:tc>
          <w:tcPr>
            <w:tcW w:w="1087" w:type="dxa"/>
            <w:gridSpan w:val="2"/>
            <w:noWrap/>
            <w:vAlign w:val="center"/>
          </w:tcPr>
          <w:p>
            <w:pPr>
              <w:keepNext w:val="0"/>
              <w:keepLines w:val="0"/>
              <w:widowControl/>
              <w:suppressLineNumbers w:val="0"/>
              <w:jc w:val="right"/>
              <w:textAlignment w:val="center"/>
              <w:rPr>
                <w:rFonts w:hint="default" w:cs="Times New Roman"/>
                <w:color w:val="auto"/>
                <w:sz w:val="24"/>
                <w:highlight w:val="none"/>
                <w:lang w:val="en-US" w:eastAsia="zh-CN"/>
              </w:rPr>
            </w:pPr>
            <w:r>
              <w:rPr>
                <w:rFonts w:hint="eastAsia" w:cs="Times New Roman"/>
                <w:color w:val="auto"/>
                <w:sz w:val="24"/>
                <w:highlight w:val="none"/>
                <w:lang w:val="en-US" w:eastAsia="zh-CN"/>
              </w:rPr>
              <w:t>3927.4</w:t>
            </w:r>
          </w:p>
        </w:tc>
        <w:tc>
          <w:tcPr>
            <w:tcW w:w="1126" w:type="dxa"/>
            <w:noWrap w:val="0"/>
            <w:vAlign w:val="center"/>
          </w:tcPr>
          <w:p>
            <w:pPr>
              <w:keepNext w:val="0"/>
              <w:keepLines w:val="0"/>
              <w:widowControl/>
              <w:suppressLineNumbers w:val="0"/>
              <w:jc w:val="right"/>
              <w:textAlignment w:val="center"/>
              <w:rPr>
                <w:rFonts w:hint="default" w:cs="Times New Roman"/>
                <w:color w:val="auto"/>
                <w:sz w:val="24"/>
                <w:highlight w:val="none"/>
                <w:lang w:val="en-US" w:eastAsia="zh-CN"/>
              </w:rPr>
            </w:pPr>
            <w:r>
              <w:rPr>
                <w:rFonts w:hint="eastAsia" w:cs="Times New Roman"/>
                <w:color w:val="auto"/>
                <w:sz w:val="24"/>
                <w:highlight w:val="none"/>
                <w:lang w:val="en-US" w:eastAsia="zh-CN"/>
              </w:rPr>
              <w:t>3927.4</w:t>
            </w:r>
          </w:p>
        </w:tc>
        <w:tc>
          <w:tcPr>
            <w:tcW w:w="993" w:type="dxa"/>
            <w:gridSpan w:val="2"/>
            <w:noWrap/>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2893.5 </w:t>
            </w:r>
          </w:p>
        </w:tc>
        <w:tc>
          <w:tcPr>
            <w:tcW w:w="1137" w:type="dxa"/>
            <w:gridSpan w:val="2"/>
            <w:noWrap w:val="0"/>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2893.5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8" w:hRule="exact"/>
        </w:trPr>
        <w:tc>
          <w:tcPr>
            <w:tcW w:w="9723" w:type="dxa"/>
            <w:gridSpan w:val="13"/>
            <w:noWrap w:val="0"/>
            <w:vAlign w:val="center"/>
          </w:tcPr>
          <w:p>
            <w:pPr>
              <w:widowControl/>
              <w:spacing w:line="400" w:lineRule="exact"/>
              <w:ind w:firstLine="482"/>
              <w:rPr>
                <w:rFonts w:hint="default" w:ascii="Times New Roman" w:hAnsi="Times New Roman" w:eastAsia="仿宋_GB2312" w:cs="Times New Roman"/>
                <w:b/>
                <w:kern w:val="0"/>
                <w:sz w:val="24"/>
                <w:highlight w:val="none"/>
              </w:rPr>
            </w:pPr>
            <w:r>
              <w:rPr>
                <w:rFonts w:hint="default" w:ascii="Times New Roman" w:hAnsi="Times New Roman" w:eastAsia="仿宋_GB2312" w:cs="Times New Roman"/>
                <w:b/>
                <w:kern w:val="0"/>
                <w:sz w:val="24"/>
                <w:highlight w:val="none"/>
              </w:rPr>
              <w:t>（三）近三年国有资本经营预算收支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3098" w:type="dxa"/>
            <w:noWrap w:val="0"/>
            <w:vAlign w:val="center"/>
          </w:tcPr>
          <w:p>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国有资本经营预算收入</w:t>
            </w:r>
          </w:p>
        </w:tc>
        <w:tc>
          <w:tcPr>
            <w:tcW w:w="1169" w:type="dxa"/>
            <w:gridSpan w:val="2"/>
            <w:noWrap/>
            <w:vAlign w:val="center"/>
          </w:tcPr>
          <w:p>
            <w:pPr>
              <w:widowControl/>
              <w:jc w:val="right"/>
              <w:rPr>
                <w:rFonts w:hint="default" w:ascii="Times New Roman" w:hAnsi="Times New Roman" w:eastAsia="仿宋_GB2312" w:cs="Times New Roman"/>
                <w:kern w:val="0"/>
                <w:sz w:val="24"/>
                <w:highlight w:val="none"/>
                <w:lang w:val="en-US" w:eastAsia="zh-CN"/>
              </w:rPr>
            </w:pPr>
            <w:r>
              <w:rPr>
                <w:rFonts w:hint="eastAsia" w:cs="Times New Roman"/>
                <w:kern w:val="0"/>
                <w:sz w:val="24"/>
                <w:highlight w:val="none"/>
                <w:lang w:val="en-US" w:eastAsia="zh-CN"/>
              </w:rPr>
              <w:t>31.3</w:t>
            </w:r>
          </w:p>
        </w:tc>
        <w:tc>
          <w:tcPr>
            <w:tcW w:w="1113" w:type="dxa"/>
            <w:gridSpan w:val="3"/>
            <w:noWrap w:val="0"/>
            <w:vAlign w:val="center"/>
          </w:tcPr>
          <w:p>
            <w:pPr>
              <w:widowControl/>
              <w:jc w:val="right"/>
              <w:rPr>
                <w:rFonts w:hint="default" w:ascii="Times New Roman" w:hAnsi="Times New Roman" w:eastAsia="仿宋_GB2312" w:cs="Times New Roman"/>
                <w:kern w:val="0"/>
                <w:sz w:val="24"/>
                <w:highlight w:val="none"/>
                <w:lang w:val="en-US" w:eastAsia="zh-CN"/>
              </w:rPr>
            </w:pPr>
            <w:r>
              <w:rPr>
                <w:rFonts w:hint="eastAsia" w:cs="Times New Roman"/>
                <w:kern w:val="0"/>
                <w:sz w:val="24"/>
                <w:highlight w:val="none"/>
                <w:lang w:val="en-US" w:eastAsia="zh-CN"/>
              </w:rPr>
              <w:t>201.8</w:t>
            </w:r>
          </w:p>
        </w:tc>
        <w:tc>
          <w:tcPr>
            <w:tcW w:w="1087" w:type="dxa"/>
            <w:gridSpan w:val="2"/>
            <w:noWrap/>
            <w:vAlign w:val="center"/>
          </w:tcPr>
          <w:p>
            <w:pPr>
              <w:widowControl/>
              <w:spacing w:line="240" w:lineRule="exact"/>
              <w:jc w:val="right"/>
              <w:rPr>
                <w:rFonts w:hint="default" w:ascii="Times New Roman" w:hAnsi="Times New Roman" w:eastAsia="仿宋_GB2312" w:cs="Times New Roman"/>
                <w:kern w:val="0"/>
                <w:sz w:val="24"/>
                <w:highlight w:val="none"/>
                <w:lang w:val="en-US" w:eastAsia="zh-CN"/>
              </w:rPr>
            </w:pPr>
            <w:r>
              <w:rPr>
                <w:rFonts w:hint="eastAsia" w:cs="Times New Roman"/>
                <w:kern w:val="0"/>
                <w:sz w:val="24"/>
                <w:highlight w:val="none"/>
                <w:lang w:val="en-US" w:eastAsia="zh-CN"/>
              </w:rPr>
              <w:t>33.7</w:t>
            </w:r>
          </w:p>
        </w:tc>
        <w:tc>
          <w:tcPr>
            <w:tcW w:w="1126" w:type="dxa"/>
            <w:noWrap w:val="0"/>
            <w:vAlign w:val="center"/>
          </w:tcPr>
          <w:p>
            <w:pPr>
              <w:widowControl/>
              <w:spacing w:line="240" w:lineRule="exact"/>
              <w:jc w:val="right"/>
              <w:rPr>
                <w:rFonts w:hint="default" w:ascii="Times New Roman" w:hAnsi="Times New Roman" w:eastAsia="仿宋_GB2312" w:cs="Times New Roman"/>
                <w:kern w:val="0"/>
                <w:sz w:val="24"/>
                <w:highlight w:val="none"/>
                <w:lang w:val="en-US" w:eastAsia="zh-CN"/>
              </w:rPr>
            </w:pPr>
            <w:r>
              <w:rPr>
                <w:rFonts w:hint="eastAsia" w:cs="Times New Roman"/>
                <w:kern w:val="0"/>
                <w:sz w:val="24"/>
                <w:highlight w:val="none"/>
                <w:lang w:val="en-US" w:eastAsia="zh-CN"/>
              </w:rPr>
              <w:t>228.2</w:t>
            </w:r>
          </w:p>
        </w:tc>
        <w:tc>
          <w:tcPr>
            <w:tcW w:w="1020" w:type="dxa"/>
            <w:gridSpan w:val="3"/>
            <w:noWrap/>
            <w:vAlign w:val="center"/>
          </w:tcPr>
          <w:p>
            <w:pPr>
              <w:widowControl/>
              <w:spacing w:line="240" w:lineRule="exact"/>
              <w:jc w:val="right"/>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28</w:t>
            </w:r>
          </w:p>
        </w:tc>
        <w:tc>
          <w:tcPr>
            <w:tcW w:w="1110" w:type="dxa"/>
            <w:noWrap w:val="0"/>
            <w:vAlign w:val="center"/>
          </w:tcPr>
          <w:p>
            <w:pPr>
              <w:widowControl/>
              <w:spacing w:line="240" w:lineRule="exact"/>
              <w:jc w:val="right"/>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177.5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3098" w:type="dxa"/>
            <w:noWrap w:val="0"/>
            <w:vAlign w:val="center"/>
          </w:tcPr>
          <w:p>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国有资本经营预算支出</w:t>
            </w:r>
          </w:p>
        </w:tc>
        <w:tc>
          <w:tcPr>
            <w:tcW w:w="1169" w:type="dxa"/>
            <w:gridSpan w:val="2"/>
            <w:noWrap/>
            <w:vAlign w:val="center"/>
          </w:tcPr>
          <w:p>
            <w:pPr>
              <w:jc w:val="right"/>
              <w:rPr>
                <w:rFonts w:hint="default" w:ascii="Times New Roman" w:hAnsi="Times New Roman" w:eastAsia="仿宋_GB2312" w:cs="Times New Roman"/>
                <w:kern w:val="0"/>
                <w:sz w:val="24"/>
                <w:highlight w:val="none"/>
                <w:lang w:val="en-US" w:eastAsia="zh-CN"/>
              </w:rPr>
            </w:pPr>
            <w:r>
              <w:rPr>
                <w:rFonts w:hint="eastAsia" w:cs="Times New Roman"/>
                <w:kern w:val="0"/>
                <w:sz w:val="24"/>
                <w:highlight w:val="none"/>
                <w:lang w:val="en-US" w:eastAsia="zh-CN"/>
              </w:rPr>
              <w:t>16.4</w:t>
            </w:r>
          </w:p>
        </w:tc>
        <w:tc>
          <w:tcPr>
            <w:tcW w:w="1113" w:type="dxa"/>
            <w:gridSpan w:val="3"/>
            <w:noWrap w:val="0"/>
            <w:vAlign w:val="center"/>
          </w:tcPr>
          <w:p>
            <w:pPr>
              <w:widowControl/>
              <w:jc w:val="right"/>
              <w:rPr>
                <w:rFonts w:hint="default" w:ascii="Times New Roman" w:hAnsi="Times New Roman" w:eastAsia="仿宋_GB2312" w:cs="Times New Roman"/>
                <w:kern w:val="0"/>
                <w:sz w:val="24"/>
                <w:highlight w:val="none"/>
                <w:lang w:val="en-US" w:eastAsia="zh-CN"/>
              </w:rPr>
            </w:pPr>
            <w:r>
              <w:rPr>
                <w:rFonts w:hint="eastAsia" w:cs="Times New Roman"/>
                <w:kern w:val="0"/>
                <w:sz w:val="24"/>
                <w:highlight w:val="none"/>
                <w:lang w:val="en-US" w:eastAsia="zh-CN"/>
              </w:rPr>
              <w:t>90.8</w:t>
            </w:r>
          </w:p>
        </w:tc>
        <w:tc>
          <w:tcPr>
            <w:tcW w:w="1087" w:type="dxa"/>
            <w:gridSpan w:val="2"/>
            <w:noWrap/>
            <w:vAlign w:val="center"/>
          </w:tcPr>
          <w:p>
            <w:pPr>
              <w:widowControl/>
              <w:spacing w:line="240" w:lineRule="exact"/>
              <w:jc w:val="right"/>
              <w:rPr>
                <w:rFonts w:hint="default" w:ascii="Times New Roman" w:hAnsi="Times New Roman" w:eastAsia="仿宋_GB2312" w:cs="Times New Roman"/>
                <w:kern w:val="0"/>
                <w:sz w:val="24"/>
                <w:highlight w:val="none"/>
                <w:lang w:val="en-US" w:eastAsia="zh-CN"/>
              </w:rPr>
            </w:pPr>
            <w:r>
              <w:rPr>
                <w:rFonts w:hint="eastAsia" w:cs="Times New Roman"/>
                <w:kern w:val="0"/>
                <w:sz w:val="24"/>
                <w:highlight w:val="none"/>
                <w:lang w:val="en-US" w:eastAsia="zh-CN"/>
              </w:rPr>
              <w:t>20.0</w:t>
            </w:r>
          </w:p>
        </w:tc>
        <w:tc>
          <w:tcPr>
            <w:tcW w:w="1126" w:type="dxa"/>
            <w:noWrap w:val="0"/>
            <w:vAlign w:val="center"/>
          </w:tcPr>
          <w:p>
            <w:pPr>
              <w:widowControl/>
              <w:spacing w:line="240" w:lineRule="exact"/>
              <w:jc w:val="right"/>
              <w:rPr>
                <w:rFonts w:hint="default" w:ascii="Times New Roman" w:hAnsi="Times New Roman" w:eastAsia="仿宋_GB2312" w:cs="Times New Roman"/>
                <w:kern w:val="0"/>
                <w:sz w:val="24"/>
                <w:highlight w:val="none"/>
                <w:lang w:val="en-US" w:eastAsia="zh-CN"/>
              </w:rPr>
            </w:pPr>
            <w:r>
              <w:rPr>
                <w:rFonts w:hint="eastAsia" w:cs="Times New Roman"/>
                <w:kern w:val="0"/>
                <w:sz w:val="24"/>
                <w:highlight w:val="none"/>
                <w:lang w:val="en-US" w:eastAsia="zh-CN"/>
              </w:rPr>
              <w:t>92.6</w:t>
            </w:r>
          </w:p>
        </w:tc>
        <w:tc>
          <w:tcPr>
            <w:tcW w:w="1020" w:type="dxa"/>
            <w:gridSpan w:val="3"/>
            <w:noWrap/>
            <w:vAlign w:val="center"/>
          </w:tcPr>
          <w:p>
            <w:pPr>
              <w:widowControl/>
              <w:spacing w:line="240" w:lineRule="exact"/>
              <w:jc w:val="right"/>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19.7</w:t>
            </w:r>
          </w:p>
        </w:tc>
        <w:tc>
          <w:tcPr>
            <w:tcW w:w="1110" w:type="dxa"/>
            <w:noWrap w:val="0"/>
            <w:vAlign w:val="center"/>
          </w:tcPr>
          <w:p>
            <w:pPr>
              <w:widowControl/>
              <w:spacing w:line="240" w:lineRule="exact"/>
              <w:jc w:val="right"/>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106.4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9" w:hRule="exact"/>
        </w:trPr>
        <w:tc>
          <w:tcPr>
            <w:tcW w:w="9723" w:type="dxa"/>
            <w:gridSpan w:val="13"/>
            <w:noWrap w:val="0"/>
            <w:vAlign w:val="center"/>
          </w:tcPr>
          <w:p>
            <w:pPr>
              <w:widowControl/>
              <w:spacing w:line="400" w:lineRule="exact"/>
              <w:ind w:firstLine="482"/>
              <w:rPr>
                <w:rFonts w:hint="default" w:ascii="Times New Roman" w:hAnsi="Times New Roman" w:eastAsia="仿宋_GB2312" w:cs="Times New Roman"/>
                <w:b/>
                <w:kern w:val="0"/>
                <w:sz w:val="24"/>
                <w:highlight w:val="none"/>
              </w:rPr>
            </w:pPr>
            <w:r>
              <w:rPr>
                <w:rFonts w:hint="default" w:ascii="Times New Roman" w:hAnsi="Times New Roman" w:eastAsia="仿宋_GB2312" w:cs="Times New Roman"/>
                <w:b/>
                <w:kern w:val="0"/>
                <w:sz w:val="24"/>
                <w:highlight w:val="none"/>
              </w:rPr>
              <w:t>（四）近三年地方政府</w:t>
            </w:r>
            <w:r>
              <w:rPr>
                <w:rFonts w:hint="eastAsia" w:ascii="Times New Roman" w:hAnsi="Times New Roman" w:eastAsia="仿宋_GB2312" w:cs="Times New Roman"/>
                <w:b/>
                <w:kern w:val="0"/>
                <w:sz w:val="24"/>
                <w:highlight w:val="none"/>
                <w:lang w:eastAsia="zh-CN"/>
              </w:rPr>
              <w:t>债务</w:t>
            </w:r>
            <w:r>
              <w:rPr>
                <w:rFonts w:hint="default" w:ascii="Times New Roman" w:hAnsi="Times New Roman" w:eastAsia="仿宋_GB2312" w:cs="Times New Roman"/>
                <w:b/>
                <w:kern w:val="0"/>
                <w:sz w:val="24"/>
                <w:highlight w:val="none"/>
              </w:rPr>
              <w:t>还本支出情况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3098" w:type="dxa"/>
            <w:noWrap w:val="0"/>
            <w:vAlign w:val="center"/>
          </w:tcPr>
          <w:p>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地方政府一般</w:t>
            </w:r>
            <w:r>
              <w:rPr>
                <w:rFonts w:hint="eastAsia" w:cs="Times New Roman"/>
                <w:kern w:val="0"/>
                <w:sz w:val="24"/>
                <w:highlight w:val="none"/>
                <w:lang w:eastAsia="zh-CN"/>
              </w:rPr>
              <w:t>债务</w:t>
            </w:r>
            <w:r>
              <w:rPr>
                <w:rFonts w:hint="default" w:ascii="Times New Roman" w:hAnsi="Times New Roman" w:eastAsia="仿宋_GB2312" w:cs="Times New Roman"/>
                <w:kern w:val="0"/>
                <w:sz w:val="24"/>
                <w:highlight w:val="none"/>
              </w:rPr>
              <w:t>还本支出</w:t>
            </w:r>
          </w:p>
        </w:tc>
        <w:tc>
          <w:tcPr>
            <w:tcW w:w="1169" w:type="dxa"/>
            <w:gridSpan w:val="2"/>
            <w:noWrap/>
            <w:vAlign w:val="center"/>
          </w:tcPr>
          <w:p>
            <w:pPr>
              <w:widowControl/>
              <w:spacing w:line="240" w:lineRule="exact"/>
              <w:jc w:val="right"/>
              <w:rPr>
                <w:rFonts w:hint="default" w:ascii="Times New Roman" w:hAnsi="Times New Roman" w:eastAsia="仿宋_GB2312" w:cs="Times New Roman"/>
                <w:sz w:val="24"/>
                <w:highlight w:val="none"/>
                <w:lang w:val="en-US" w:eastAsia="zh-CN"/>
              </w:rPr>
            </w:pPr>
            <w:r>
              <w:rPr>
                <w:rFonts w:hint="eastAsia" w:cs="Times New Roman"/>
                <w:sz w:val="24"/>
                <w:highlight w:val="none"/>
                <w:lang w:val="en-US" w:eastAsia="zh-CN"/>
              </w:rPr>
              <w:t>82.8</w:t>
            </w:r>
          </w:p>
        </w:tc>
        <w:tc>
          <w:tcPr>
            <w:tcW w:w="1113" w:type="dxa"/>
            <w:gridSpan w:val="3"/>
            <w:noWrap w:val="0"/>
            <w:vAlign w:val="center"/>
          </w:tcPr>
          <w:p>
            <w:pPr>
              <w:widowControl/>
              <w:spacing w:line="240" w:lineRule="exact"/>
              <w:jc w:val="right"/>
              <w:rPr>
                <w:rFonts w:hint="default" w:ascii="Times New Roman" w:hAnsi="Times New Roman" w:eastAsia="仿宋_GB2312" w:cs="Times New Roman"/>
                <w:sz w:val="24"/>
                <w:highlight w:val="none"/>
                <w:lang w:val="en-US" w:eastAsia="zh-CN"/>
              </w:rPr>
            </w:pPr>
            <w:r>
              <w:rPr>
                <w:rFonts w:hint="eastAsia" w:cs="Times New Roman"/>
                <w:sz w:val="24"/>
                <w:highlight w:val="none"/>
                <w:lang w:val="en-US" w:eastAsia="zh-CN"/>
              </w:rPr>
              <w:t>731.7</w:t>
            </w:r>
          </w:p>
        </w:tc>
        <w:tc>
          <w:tcPr>
            <w:tcW w:w="1087" w:type="dxa"/>
            <w:gridSpan w:val="2"/>
            <w:noWrap/>
            <w:vAlign w:val="center"/>
          </w:tcPr>
          <w:p>
            <w:pPr>
              <w:widowControl/>
              <w:spacing w:line="240" w:lineRule="exact"/>
              <w:jc w:val="right"/>
              <w:rPr>
                <w:rFonts w:hint="default" w:ascii="Times New Roman" w:hAnsi="Times New Roman" w:eastAsia="仿宋_GB2312" w:cs="Times New Roman"/>
                <w:sz w:val="24"/>
                <w:highlight w:val="none"/>
                <w:lang w:val="en-US" w:eastAsia="zh-CN"/>
              </w:rPr>
            </w:pPr>
            <w:r>
              <w:rPr>
                <w:rFonts w:hint="eastAsia" w:cs="Times New Roman"/>
                <w:sz w:val="24"/>
                <w:highlight w:val="none"/>
                <w:lang w:val="en-US" w:eastAsia="zh-CN"/>
              </w:rPr>
              <w:t>109.4</w:t>
            </w:r>
          </w:p>
        </w:tc>
        <w:tc>
          <w:tcPr>
            <w:tcW w:w="1126" w:type="dxa"/>
            <w:noWrap w:val="0"/>
            <w:vAlign w:val="center"/>
          </w:tcPr>
          <w:p>
            <w:pPr>
              <w:widowControl/>
              <w:spacing w:line="240" w:lineRule="exact"/>
              <w:jc w:val="right"/>
              <w:rPr>
                <w:rFonts w:hint="default" w:ascii="Times New Roman" w:hAnsi="Times New Roman" w:cs="Times New Roman"/>
                <w:color w:val="auto"/>
                <w:kern w:val="0"/>
                <w:sz w:val="24"/>
                <w:highlight w:val="none"/>
                <w:lang w:val="en-US" w:eastAsia="zh-CN"/>
              </w:rPr>
            </w:pPr>
            <w:r>
              <w:rPr>
                <w:rFonts w:hint="eastAsia" w:cs="Times New Roman"/>
                <w:color w:val="auto"/>
                <w:kern w:val="0"/>
                <w:sz w:val="24"/>
                <w:highlight w:val="none"/>
                <w:lang w:val="en-US" w:eastAsia="zh-CN"/>
              </w:rPr>
              <w:t>1005.1</w:t>
            </w:r>
          </w:p>
        </w:tc>
        <w:tc>
          <w:tcPr>
            <w:tcW w:w="1020" w:type="dxa"/>
            <w:gridSpan w:val="3"/>
            <w:noWrap/>
            <w:vAlign w:val="center"/>
          </w:tcPr>
          <w:p>
            <w:pPr>
              <w:widowControl/>
              <w:spacing w:line="240" w:lineRule="exact"/>
              <w:jc w:val="right"/>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103.5</w:t>
            </w:r>
          </w:p>
        </w:tc>
        <w:tc>
          <w:tcPr>
            <w:tcW w:w="1110" w:type="dxa"/>
            <w:noWrap w:val="0"/>
            <w:vAlign w:val="center"/>
          </w:tcPr>
          <w:p>
            <w:pPr>
              <w:widowControl/>
              <w:spacing w:line="240" w:lineRule="exact"/>
              <w:jc w:val="right"/>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720.6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3098" w:type="dxa"/>
            <w:noWrap w:val="0"/>
            <w:vAlign w:val="center"/>
          </w:tcPr>
          <w:p>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地方政府专项</w:t>
            </w:r>
            <w:r>
              <w:rPr>
                <w:rFonts w:hint="eastAsia" w:cs="Times New Roman"/>
                <w:kern w:val="0"/>
                <w:sz w:val="24"/>
                <w:highlight w:val="none"/>
                <w:lang w:eastAsia="zh-CN"/>
              </w:rPr>
              <w:t>债务</w:t>
            </w:r>
            <w:r>
              <w:rPr>
                <w:rFonts w:hint="default" w:ascii="Times New Roman" w:hAnsi="Times New Roman" w:eastAsia="仿宋_GB2312" w:cs="Times New Roman"/>
                <w:kern w:val="0"/>
                <w:sz w:val="24"/>
                <w:highlight w:val="none"/>
              </w:rPr>
              <w:t>还本支出</w:t>
            </w:r>
          </w:p>
        </w:tc>
        <w:tc>
          <w:tcPr>
            <w:tcW w:w="1169" w:type="dxa"/>
            <w:gridSpan w:val="2"/>
            <w:noWrap/>
            <w:vAlign w:val="center"/>
          </w:tcPr>
          <w:p>
            <w:pPr>
              <w:widowControl/>
              <w:spacing w:line="240" w:lineRule="exact"/>
              <w:jc w:val="right"/>
              <w:rPr>
                <w:rFonts w:hint="eastAsia" w:ascii="Times New Roman" w:hAnsi="Times New Roman" w:eastAsia="仿宋_GB2312" w:cs="Times New Roman"/>
                <w:sz w:val="24"/>
                <w:highlight w:val="none"/>
                <w:lang w:val="en-US" w:eastAsia="zh-CN"/>
              </w:rPr>
            </w:pPr>
            <w:r>
              <w:rPr>
                <w:rFonts w:hint="eastAsia" w:cs="Times New Roman"/>
                <w:sz w:val="24"/>
                <w:highlight w:val="none"/>
                <w:lang w:val="en-US" w:eastAsia="zh-CN"/>
              </w:rPr>
              <w:t>0</w:t>
            </w:r>
          </w:p>
        </w:tc>
        <w:tc>
          <w:tcPr>
            <w:tcW w:w="1113" w:type="dxa"/>
            <w:gridSpan w:val="3"/>
            <w:noWrap w:val="0"/>
            <w:vAlign w:val="center"/>
          </w:tcPr>
          <w:p>
            <w:pPr>
              <w:widowControl/>
              <w:spacing w:line="240" w:lineRule="exact"/>
              <w:jc w:val="right"/>
              <w:rPr>
                <w:rFonts w:hint="default" w:ascii="Times New Roman" w:hAnsi="Times New Roman" w:eastAsia="仿宋_GB2312" w:cs="Times New Roman"/>
                <w:sz w:val="24"/>
                <w:highlight w:val="none"/>
                <w:lang w:val="en-US" w:eastAsia="zh-CN"/>
              </w:rPr>
            </w:pPr>
            <w:r>
              <w:rPr>
                <w:rFonts w:hint="eastAsia" w:cs="Times New Roman"/>
                <w:sz w:val="24"/>
                <w:highlight w:val="none"/>
                <w:lang w:val="en-US" w:eastAsia="zh-CN"/>
              </w:rPr>
              <w:t>1977.4</w:t>
            </w:r>
          </w:p>
        </w:tc>
        <w:tc>
          <w:tcPr>
            <w:tcW w:w="1087" w:type="dxa"/>
            <w:gridSpan w:val="2"/>
            <w:noWrap/>
            <w:vAlign w:val="center"/>
          </w:tcPr>
          <w:p>
            <w:pPr>
              <w:widowControl/>
              <w:spacing w:line="240" w:lineRule="exact"/>
              <w:jc w:val="right"/>
              <w:rPr>
                <w:rFonts w:hint="default" w:ascii="Times New Roman" w:hAnsi="Times New Roman" w:eastAsia="仿宋_GB2312" w:cs="Times New Roman"/>
                <w:sz w:val="24"/>
                <w:highlight w:val="none"/>
                <w:lang w:val="en-US" w:eastAsia="zh-CN"/>
              </w:rPr>
            </w:pPr>
            <w:r>
              <w:rPr>
                <w:rFonts w:hint="eastAsia" w:cs="Times New Roman"/>
                <w:sz w:val="24"/>
                <w:highlight w:val="none"/>
                <w:lang w:val="en-US" w:eastAsia="zh-CN"/>
              </w:rPr>
              <w:t>0</w:t>
            </w:r>
          </w:p>
        </w:tc>
        <w:tc>
          <w:tcPr>
            <w:tcW w:w="1126" w:type="dxa"/>
            <w:noWrap w:val="0"/>
            <w:vAlign w:val="center"/>
          </w:tcPr>
          <w:p>
            <w:pPr>
              <w:widowControl/>
              <w:spacing w:line="240" w:lineRule="exact"/>
              <w:jc w:val="right"/>
              <w:rPr>
                <w:rFonts w:hint="default" w:ascii="Times New Roman" w:hAnsi="Times New Roman" w:cs="Times New Roman"/>
                <w:color w:val="auto"/>
                <w:kern w:val="0"/>
                <w:sz w:val="24"/>
                <w:highlight w:val="none"/>
                <w:lang w:val="en-US" w:eastAsia="zh-CN"/>
              </w:rPr>
            </w:pPr>
            <w:r>
              <w:rPr>
                <w:rFonts w:hint="eastAsia" w:cs="Times New Roman"/>
                <w:color w:val="auto"/>
                <w:kern w:val="0"/>
                <w:sz w:val="24"/>
                <w:highlight w:val="none"/>
                <w:lang w:val="en-US" w:eastAsia="zh-CN"/>
              </w:rPr>
              <w:t>1569.4</w:t>
            </w:r>
          </w:p>
        </w:tc>
        <w:tc>
          <w:tcPr>
            <w:tcW w:w="1020" w:type="dxa"/>
            <w:gridSpan w:val="3"/>
            <w:noWrap/>
            <w:vAlign w:val="center"/>
          </w:tcPr>
          <w:p>
            <w:pPr>
              <w:widowControl/>
              <w:spacing w:line="240" w:lineRule="exact"/>
              <w:jc w:val="right"/>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0</w:t>
            </w:r>
          </w:p>
        </w:tc>
        <w:tc>
          <w:tcPr>
            <w:tcW w:w="1110" w:type="dxa"/>
            <w:noWrap w:val="0"/>
            <w:vAlign w:val="center"/>
          </w:tcPr>
          <w:p>
            <w:pPr>
              <w:widowControl/>
              <w:spacing w:line="240" w:lineRule="exact"/>
              <w:jc w:val="right"/>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1594.5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1" w:hRule="exact"/>
        </w:trPr>
        <w:tc>
          <w:tcPr>
            <w:tcW w:w="9723" w:type="dxa"/>
            <w:gridSpan w:val="13"/>
            <w:noWrap/>
            <w:vAlign w:val="center"/>
          </w:tcPr>
          <w:p>
            <w:pPr>
              <w:widowControl/>
              <w:spacing w:line="400" w:lineRule="exact"/>
              <w:ind w:firstLine="482"/>
              <w:rPr>
                <w:rFonts w:hint="default" w:ascii="Times New Roman" w:hAnsi="Times New Roman" w:eastAsia="仿宋_GB2312" w:cs="Times New Roman"/>
                <w:b/>
                <w:kern w:val="0"/>
                <w:sz w:val="24"/>
                <w:highlight w:val="none"/>
              </w:rPr>
            </w:pPr>
            <w:r>
              <w:rPr>
                <w:rFonts w:hint="default" w:ascii="Times New Roman" w:hAnsi="Times New Roman" w:eastAsia="仿宋_GB2312" w:cs="Times New Roman"/>
                <w:b/>
                <w:kern w:val="0"/>
                <w:sz w:val="24"/>
                <w:highlight w:val="none"/>
              </w:rPr>
              <w:t>三、地方政府债务状况（亿元）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4730" w:type="dxa"/>
            <w:gridSpan w:val="4"/>
            <w:noWrap/>
            <w:vAlign w:val="center"/>
          </w:tcPr>
          <w:p>
            <w:pPr>
              <w:widowControl/>
              <w:spacing w:line="240" w:lineRule="exact"/>
              <w:ind w:firstLine="480"/>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截至202</w:t>
            </w:r>
            <w:r>
              <w:rPr>
                <w:rFonts w:hint="eastAsia" w:cs="Times New Roman"/>
                <w:kern w:val="0"/>
                <w:sz w:val="24"/>
                <w:highlight w:val="none"/>
                <w:lang w:val="en-US" w:eastAsia="zh-CN"/>
              </w:rPr>
              <w:t>5</w:t>
            </w:r>
            <w:r>
              <w:rPr>
                <w:rFonts w:hint="default" w:ascii="Times New Roman" w:hAnsi="Times New Roman" w:eastAsia="仿宋_GB2312" w:cs="Times New Roman"/>
                <w:kern w:val="0"/>
                <w:sz w:val="24"/>
                <w:highlight w:val="none"/>
              </w:rPr>
              <w:t>年底地方政府债务余额</w:t>
            </w:r>
          </w:p>
        </w:tc>
        <w:tc>
          <w:tcPr>
            <w:tcW w:w="4993" w:type="dxa"/>
            <w:gridSpan w:val="9"/>
            <w:noWrap/>
            <w:vAlign w:val="center"/>
          </w:tcPr>
          <w:p>
            <w:pPr>
              <w:widowControl/>
              <w:spacing w:line="240" w:lineRule="exact"/>
              <w:ind w:firstLine="480"/>
              <w:jc w:val="right"/>
              <w:rPr>
                <w:rFonts w:hint="default" w:ascii="Times New Roman" w:hAnsi="Times New Roman" w:eastAsia="仿宋_GB2312" w:cs="Times New Roman"/>
                <w:kern w:val="0"/>
                <w:sz w:val="24"/>
                <w:highlight w:val="none"/>
                <w:lang w:val="en-US" w:eastAsia="zh-CN"/>
              </w:rPr>
            </w:pPr>
            <w:r>
              <w:rPr>
                <w:rFonts w:hint="eastAsia" w:cs="Times New Roman"/>
                <w:kern w:val="0"/>
                <w:sz w:val="24"/>
                <w:highlight w:val="none"/>
                <w:lang w:val="en-US" w:eastAsia="zh-CN"/>
              </w:rPr>
              <w:t>28015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4730" w:type="dxa"/>
            <w:gridSpan w:val="4"/>
            <w:noWrap/>
            <w:vAlign w:val="center"/>
          </w:tcPr>
          <w:p>
            <w:pPr>
              <w:widowControl/>
              <w:spacing w:line="240" w:lineRule="exact"/>
              <w:ind w:firstLine="480"/>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202</w:t>
            </w:r>
            <w:r>
              <w:rPr>
                <w:rFonts w:hint="eastAsia" w:cs="Times New Roman"/>
                <w:kern w:val="0"/>
                <w:sz w:val="24"/>
                <w:highlight w:val="none"/>
                <w:lang w:val="en-US" w:eastAsia="zh-CN"/>
              </w:rPr>
              <w:t>5</w:t>
            </w:r>
            <w:r>
              <w:rPr>
                <w:rFonts w:hint="default" w:ascii="Times New Roman" w:hAnsi="Times New Roman" w:eastAsia="仿宋_GB2312" w:cs="Times New Roman"/>
                <w:kern w:val="0"/>
                <w:sz w:val="24"/>
                <w:highlight w:val="none"/>
              </w:rPr>
              <w:t>年地方政府债务限额</w:t>
            </w:r>
          </w:p>
        </w:tc>
        <w:tc>
          <w:tcPr>
            <w:tcW w:w="4993" w:type="dxa"/>
            <w:gridSpan w:val="9"/>
            <w:noWrap/>
            <w:vAlign w:val="center"/>
          </w:tcPr>
          <w:p>
            <w:pPr>
              <w:widowControl/>
              <w:spacing w:line="240" w:lineRule="exact"/>
              <w:ind w:firstLine="480"/>
              <w:jc w:val="right"/>
              <w:rPr>
                <w:rFonts w:hint="default" w:ascii="Times New Roman" w:hAnsi="Times New Roman" w:eastAsia="仿宋_GB2312" w:cs="Times New Roman"/>
                <w:sz w:val="24"/>
                <w:highlight w:val="none"/>
                <w:lang w:val="en-US" w:eastAsia="zh-CN"/>
              </w:rPr>
            </w:pPr>
            <w:r>
              <w:rPr>
                <w:rFonts w:hint="eastAsia" w:cs="Times New Roman"/>
                <w:sz w:val="24"/>
                <w:highlight w:val="none"/>
                <w:lang w:val="en-US" w:eastAsia="zh-CN"/>
              </w:rPr>
              <w:t>29635.7</w:t>
            </w:r>
          </w:p>
        </w:tc>
      </w:tr>
    </w:tbl>
    <w:p>
      <w:pPr>
        <w:pStyle w:val="4"/>
        <w:snapToGrid w:val="0"/>
        <w:spacing w:line="300" w:lineRule="exact"/>
        <w:ind w:left="735" w:hanging="735" w:hangingChars="350"/>
        <w:rPr>
          <w:rFonts w:hint="default" w:ascii="Times New Roman" w:hAnsi="Times New Roman" w:eastAsia="仿宋_GB2312" w:cs="Times New Roman"/>
          <w:color w:val="000000"/>
          <w:highlight w:val="none"/>
          <w:lang w:eastAsia="zh-CN"/>
        </w:rPr>
      </w:pPr>
      <w:r>
        <w:rPr>
          <w:rFonts w:hint="default" w:ascii="Times New Roman" w:hAnsi="Times New Roman" w:eastAsia="仿宋_GB2312" w:cs="Times New Roman"/>
          <w:color w:val="000000"/>
          <w:highlight w:val="none"/>
        </w:rPr>
        <w:t>注：1、经济数据</w:t>
      </w:r>
      <w:r>
        <w:rPr>
          <w:rFonts w:hint="default" w:ascii="Times New Roman" w:hAnsi="Times New Roman" w:eastAsia="仿宋_GB2312" w:cs="Times New Roman"/>
          <w:color w:val="000000"/>
          <w:highlight w:val="none"/>
          <w:lang w:eastAsia="zh-CN"/>
        </w:rPr>
        <w:t>来源于四川省统计局</w:t>
      </w:r>
    </w:p>
    <w:p>
      <w:pPr>
        <w:pStyle w:val="4"/>
        <w:snapToGrid w:val="0"/>
        <w:spacing w:line="300" w:lineRule="exact"/>
        <w:ind w:firstLine="420" w:firstLineChars="200"/>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000000"/>
          <w:highlight w:val="none"/>
        </w:rPr>
        <w:t>2、财政数据中202</w:t>
      </w:r>
      <w:r>
        <w:rPr>
          <w:rFonts w:hint="eastAsia" w:ascii="Times New Roman" w:hAnsi="Times New Roman" w:eastAsia="仿宋_GB2312" w:cs="Times New Roman"/>
          <w:color w:val="000000"/>
          <w:highlight w:val="none"/>
          <w:lang w:val="en-US" w:eastAsia="zh-CN"/>
        </w:rPr>
        <w:t>4</w:t>
      </w:r>
      <w:r>
        <w:rPr>
          <w:rFonts w:hint="default" w:ascii="Times New Roman" w:hAnsi="Times New Roman" w:eastAsia="仿宋_GB2312" w:cs="Times New Roman"/>
          <w:color w:val="000000"/>
          <w:highlight w:val="none"/>
        </w:rPr>
        <w:t>年</w:t>
      </w:r>
      <w:r>
        <w:rPr>
          <w:rFonts w:hint="default" w:ascii="Times New Roman" w:hAnsi="Times New Roman" w:eastAsia="仿宋_GB2312" w:cs="Times New Roman"/>
          <w:color w:val="000000"/>
          <w:highlight w:val="none"/>
          <w:lang w:eastAsia="zh-CN"/>
        </w:rPr>
        <w:t>为决算数，</w:t>
      </w:r>
      <w:r>
        <w:rPr>
          <w:rFonts w:hint="default" w:ascii="Times New Roman" w:hAnsi="Times New Roman" w:eastAsia="仿宋_GB2312" w:cs="Times New Roman"/>
          <w:color w:val="000000"/>
          <w:highlight w:val="none"/>
          <w:lang w:val="en-US" w:eastAsia="zh-CN"/>
        </w:rPr>
        <w:t>202</w:t>
      </w:r>
      <w:r>
        <w:rPr>
          <w:rFonts w:hint="eastAsia" w:ascii="Times New Roman" w:hAnsi="Times New Roman" w:eastAsia="仿宋_GB2312" w:cs="Times New Roman"/>
          <w:color w:val="000000"/>
          <w:highlight w:val="none"/>
          <w:lang w:val="en-US" w:eastAsia="zh-CN"/>
        </w:rPr>
        <w:t>5</w:t>
      </w:r>
      <w:r>
        <w:rPr>
          <w:rFonts w:hint="default" w:ascii="Times New Roman" w:hAnsi="Times New Roman" w:eastAsia="仿宋_GB2312" w:cs="Times New Roman"/>
          <w:color w:val="000000"/>
          <w:highlight w:val="none"/>
          <w:lang w:val="en-US" w:eastAsia="zh-CN"/>
        </w:rPr>
        <w:t>年</w:t>
      </w:r>
      <w:r>
        <w:rPr>
          <w:rFonts w:hint="default" w:ascii="Times New Roman" w:hAnsi="Times New Roman" w:eastAsia="仿宋_GB2312" w:cs="Times New Roman"/>
          <w:color w:val="000000"/>
          <w:highlight w:val="none"/>
        </w:rPr>
        <w:t>为</w:t>
      </w:r>
      <w:r>
        <w:rPr>
          <w:rFonts w:hint="eastAsia" w:ascii="Times New Roman" w:hAnsi="Times New Roman" w:eastAsia="仿宋_GB2312" w:cs="Times New Roman"/>
          <w:color w:val="000000"/>
          <w:highlight w:val="none"/>
          <w:lang w:eastAsia="zh-CN"/>
        </w:rPr>
        <w:t>决算数</w:t>
      </w:r>
      <w:r>
        <w:rPr>
          <w:rFonts w:hint="default" w:ascii="Times New Roman" w:hAnsi="Times New Roman" w:eastAsia="仿宋_GB2312" w:cs="Times New Roman"/>
          <w:color w:val="000000"/>
          <w:highlight w:val="none"/>
          <w:lang w:eastAsia="zh-CN"/>
        </w:rPr>
        <w:t>，</w:t>
      </w:r>
      <w:r>
        <w:rPr>
          <w:rFonts w:hint="eastAsia" w:ascii="Times New Roman" w:hAnsi="Times New Roman" w:eastAsia="仿宋_GB2312" w:cs="Times New Roman"/>
          <w:color w:val="000000"/>
          <w:highlight w:val="none"/>
          <w:lang w:val="en-US" w:eastAsia="zh-CN"/>
        </w:rPr>
        <w:t>2026年</w:t>
      </w:r>
      <w:r>
        <w:rPr>
          <w:rFonts w:hint="default" w:ascii="Times New Roman" w:hAnsi="Times New Roman" w:eastAsia="仿宋_GB2312" w:cs="Times New Roman"/>
          <w:color w:val="000000"/>
          <w:highlight w:val="none"/>
          <w:lang w:val="en-US" w:eastAsia="zh-CN"/>
        </w:rPr>
        <w:t>为预算数</w:t>
      </w:r>
      <w:r>
        <w:rPr>
          <w:rFonts w:hint="default" w:ascii="Times New Roman" w:hAnsi="Times New Roman" w:eastAsia="仿宋_GB2312" w:cs="Times New Roman"/>
          <w:color w:val="000000"/>
          <w:highlight w:val="none"/>
        </w:rPr>
        <w:t>。</w:t>
      </w:r>
    </w:p>
    <w:p>
      <w:pPr>
        <w:keepNext w:val="0"/>
        <w:keepLines w:val="0"/>
        <w:pageBreakBefore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五、四川省地方政府债务管理情况</w:t>
      </w:r>
    </w:p>
    <w:p>
      <w:pPr>
        <w:pStyle w:val="4"/>
        <w:keepNext w:val="0"/>
        <w:keepLines w:val="0"/>
        <w:pageBreakBefore w:val="0"/>
        <w:widowControl w:val="0"/>
        <w:kinsoku/>
        <w:wordWrap/>
        <w:overflowPunct/>
        <w:topLinePunct w:val="0"/>
        <w:autoSpaceDE/>
        <w:autoSpaceDN/>
        <w:bidi w:val="0"/>
        <w:adjustRightInd/>
        <w:snapToGrid w:val="0"/>
        <w:spacing w:line="560" w:lineRule="exact"/>
        <w:ind w:firstLine="616" w:firstLineChars="192"/>
        <w:textAlignment w:val="auto"/>
        <w:rPr>
          <w:rFonts w:hint="default" w:ascii="Times New Roman" w:hAnsi="Times New Roman" w:eastAsia="楷体_GB2312" w:cs="Times New Roman"/>
          <w:b/>
          <w:bCs/>
          <w:color w:val="auto"/>
          <w:sz w:val="32"/>
          <w:szCs w:val="32"/>
          <w:highlight w:val="none"/>
        </w:rPr>
      </w:pPr>
      <w:r>
        <w:rPr>
          <w:rFonts w:hint="default" w:ascii="Times New Roman" w:hAnsi="Times New Roman" w:eastAsia="楷体_GB2312" w:cs="Times New Roman"/>
          <w:b/>
          <w:bCs/>
          <w:color w:val="auto"/>
          <w:sz w:val="32"/>
          <w:szCs w:val="32"/>
          <w:highlight w:val="none"/>
        </w:rPr>
        <w:t>（一）四川省地方政府债务基本情况。</w:t>
      </w:r>
    </w:p>
    <w:p>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202</w:t>
      </w:r>
      <w:r>
        <w:rPr>
          <w:rFonts w:hint="eastAsia"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val="en-US"/>
        </w:rPr>
        <w:t>全省</w:t>
      </w:r>
      <w:r>
        <w:rPr>
          <w:rFonts w:hint="default" w:ascii="Times New Roman" w:hAnsi="Times New Roman" w:eastAsia="仿宋_GB2312" w:cs="Times New Roman"/>
          <w:color w:val="auto"/>
          <w:sz w:val="32"/>
          <w:szCs w:val="32"/>
          <w:highlight w:val="none"/>
        </w:rPr>
        <w:t>债务余额为</w:t>
      </w:r>
      <w:r>
        <w:rPr>
          <w:rFonts w:hint="eastAsia" w:ascii="Times New Roman" w:hAnsi="Times New Roman" w:eastAsia="仿宋_GB2312" w:cs="Times New Roman"/>
          <w:color w:val="auto"/>
          <w:sz w:val="32"/>
          <w:szCs w:val="32"/>
          <w:highlight w:val="none"/>
          <w:lang w:val="en-US" w:eastAsia="zh-CN"/>
        </w:rPr>
        <w:t>28015</w:t>
      </w:r>
      <w:r>
        <w:rPr>
          <w:rFonts w:hint="default" w:ascii="Times New Roman" w:hAnsi="Times New Roman" w:eastAsia="仿宋_GB2312" w:cs="Times New Roman"/>
          <w:color w:val="auto"/>
          <w:sz w:val="32"/>
          <w:szCs w:val="32"/>
          <w:highlight w:val="none"/>
        </w:rPr>
        <w:t>亿元，控制在国务院</w:t>
      </w:r>
      <w:r>
        <w:rPr>
          <w:rFonts w:hint="default" w:ascii="Times New Roman" w:hAnsi="Times New Roman" w:eastAsia="仿宋_GB2312" w:cs="Times New Roman"/>
          <w:color w:val="auto"/>
          <w:sz w:val="32"/>
          <w:szCs w:val="32"/>
          <w:highlight w:val="none"/>
          <w:lang w:val="en-US" w:eastAsia="zh-CN"/>
        </w:rPr>
        <w:t>批准</w:t>
      </w:r>
      <w:r>
        <w:rPr>
          <w:rFonts w:hint="default" w:ascii="Times New Roman" w:hAnsi="Times New Roman" w:eastAsia="仿宋_GB2312" w:cs="Times New Roman"/>
          <w:color w:val="auto"/>
          <w:sz w:val="32"/>
          <w:szCs w:val="32"/>
          <w:highlight w:val="none"/>
        </w:rPr>
        <w:t>的</w:t>
      </w:r>
      <w:r>
        <w:rPr>
          <w:rFonts w:hint="eastAsia" w:ascii="Times New Roman" w:hAnsi="Times New Roman" w:eastAsia="仿宋_GB2312" w:cs="Times New Roman"/>
          <w:color w:val="auto"/>
          <w:sz w:val="32"/>
          <w:szCs w:val="32"/>
          <w:highlight w:val="none"/>
          <w:lang w:val="en-US" w:eastAsia="zh-CN"/>
        </w:rPr>
        <w:t>29635.7</w:t>
      </w:r>
      <w:r>
        <w:rPr>
          <w:rFonts w:hint="default" w:ascii="Times New Roman" w:hAnsi="Times New Roman" w:eastAsia="仿宋_GB2312" w:cs="Times New Roman"/>
          <w:color w:val="auto"/>
          <w:sz w:val="32"/>
          <w:szCs w:val="32"/>
          <w:highlight w:val="none"/>
          <w:lang w:val="en-US" w:eastAsia="zh-CN"/>
        </w:rPr>
        <w:t>亿</w:t>
      </w:r>
      <w:r>
        <w:rPr>
          <w:rFonts w:hint="default" w:ascii="Times New Roman" w:hAnsi="Times New Roman" w:eastAsia="仿宋_GB2312" w:cs="Times New Roman"/>
          <w:color w:val="auto"/>
          <w:sz w:val="32"/>
          <w:szCs w:val="32"/>
          <w:highlight w:val="none"/>
        </w:rPr>
        <w:t>元限额内，债务风险总体可控。</w:t>
      </w:r>
      <w:r>
        <w:rPr>
          <w:rFonts w:hint="default" w:ascii="Times New Roman" w:hAnsi="Times New Roman" w:eastAsia="仿宋_GB2312" w:cs="Times New Roman"/>
          <w:color w:val="auto"/>
          <w:sz w:val="32"/>
          <w:szCs w:val="32"/>
          <w:highlight w:val="none"/>
          <w:lang w:val="en-US" w:eastAsia="zh-CN"/>
        </w:rPr>
        <w:t>分类型看：全省一般债务限额</w:t>
      </w:r>
      <w:r>
        <w:rPr>
          <w:rFonts w:hint="eastAsia" w:ascii="Times New Roman" w:hAnsi="Times New Roman" w:eastAsia="仿宋_GB2312" w:cs="Times New Roman"/>
          <w:color w:val="auto"/>
          <w:sz w:val="32"/>
          <w:szCs w:val="32"/>
          <w:highlight w:val="none"/>
          <w:lang w:val="en-US" w:eastAsia="zh-CN"/>
        </w:rPr>
        <w:t>8739.4</w:t>
      </w:r>
      <w:r>
        <w:rPr>
          <w:rFonts w:hint="default" w:ascii="Times New Roman" w:hAnsi="Times New Roman" w:eastAsia="仿宋_GB2312" w:cs="Times New Roman"/>
          <w:color w:val="auto"/>
          <w:sz w:val="32"/>
          <w:szCs w:val="32"/>
          <w:highlight w:val="none"/>
          <w:lang w:val="en-US" w:eastAsia="zh-CN"/>
        </w:rPr>
        <w:t>亿元，余</w:t>
      </w:r>
      <w:r>
        <w:rPr>
          <w:rFonts w:hint="eastAsia" w:ascii="Times New Roman" w:hAnsi="Times New Roman" w:eastAsia="仿宋_GB2312" w:cs="Times New Roman"/>
          <w:color w:val="auto"/>
          <w:sz w:val="32"/>
          <w:szCs w:val="32"/>
          <w:highlight w:val="none"/>
          <w:lang w:val="en-US" w:eastAsia="zh-CN"/>
        </w:rPr>
        <w:t>额8515.5</w:t>
      </w:r>
      <w:r>
        <w:rPr>
          <w:rFonts w:hint="default" w:ascii="Times New Roman" w:hAnsi="Times New Roman" w:eastAsia="仿宋_GB2312" w:cs="Times New Roman"/>
          <w:color w:val="auto"/>
          <w:sz w:val="32"/>
          <w:szCs w:val="32"/>
          <w:highlight w:val="none"/>
          <w:lang w:val="en-US" w:eastAsia="zh-CN"/>
        </w:rPr>
        <w:t>亿元；专项债务限额</w:t>
      </w:r>
      <w:r>
        <w:rPr>
          <w:rFonts w:hint="eastAsia" w:ascii="Times New Roman" w:hAnsi="Times New Roman" w:eastAsia="仿宋_GB2312" w:cs="Times New Roman"/>
          <w:color w:val="auto"/>
          <w:sz w:val="32"/>
          <w:szCs w:val="32"/>
          <w:highlight w:val="none"/>
          <w:lang w:val="en-US" w:eastAsia="zh-CN"/>
        </w:rPr>
        <w:t>20896.3</w:t>
      </w:r>
      <w:r>
        <w:rPr>
          <w:rFonts w:hint="default" w:ascii="Times New Roman" w:hAnsi="Times New Roman" w:eastAsia="仿宋_GB2312" w:cs="Times New Roman"/>
          <w:color w:val="auto"/>
          <w:sz w:val="32"/>
          <w:szCs w:val="32"/>
          <w:highlight w:val="none"/>
          <w:lang w:val="en-US" w:eastAsia="zh-CN"/>
        </w:rPr>
        <w:t>亿元，余额</w:t>
      </w:r>
      <w:r>
        <w:rPr>
          <w:rFonts w:hint="eastAsia" w:ascii="Times New Roman" w:hAnsi="Times New Roman" w:eastAsia="仿宋_GB2312" w:cs="Times New Roman"/>
          <w:color w:val="auto"/>
          <w:sz w:val="32"/>
          <w:szCs w:val="32"/>
          <w:highlight w:val="none"/>
          <w:lang w:val="en-US" w:eastAsia="zh-CN"/>
        </w:rPr>
        <w:t>19499.5</w:t>
      </w:r>
      <w:r>
        <w:rPr>
          <w:rFonts w:hint="default" w:ascii="Times New Roman" w:hAnsi="Times New Roman" w:eastAsia="仿宋_GB2312" w:cs="Times New Roman"/>
          <w:color w:val="auto"/>
          <w:sz w:val="32"/>
          <w:szCs w:val="32"/>
          <w:highlight w:val="none"/>
          <w:lang w:val="en-US" w:eastAsia="zh-CN"/>
        </w:rPr>
        <w:t>亿元。分级次看：省级债务限额</w:t>
      </w:r>
      <w:r>
        <w:rPr>
          <w:rFonts w:hint="eastAsia" w:ascii="Times New Roman" w:hAnsi="Times New Roman" w:eastAsia="仿宋_GB2312" w:cs="Times New Roman"/>
          <w:color w:val="auto"/>
          <w:sz w:val="32"/>
          <w:szCs w:val="32"/>
          <w:highlight w:val="none"/>
          <w:lang w:val="en-US" w:eastAsia="zh-CN"/>
        </w:rPr>
        <w:t>1546.1</w:t>
      </w:r>
      <w:r>
        <w:rPr>
          <w:rFonts w:hint="default" w:ascii="Times New Roman" w:hAnsi="Times New Roman" w:eastAsia="仿宋_GB2312" w:cs="Times New Roman"/>
          <w:color w:val="auto"/>
          <w:sz w:val="32"/>
          <w:szCs w:val="32"/>
          <w:highlight w:val="none"/>
          <w:lang w:val="en-US" w:eastAsia="zh-CN"/>
        </w:rPr>
        <w:t>亿元，余额</w:t>
      </w:r>
      <w:r>
        <w:rPr>
          <w:rFonts w:hint="eastAsia" w:ascii="Times New Roman" w:hAnsi="Times New Roman" w:eastAsia="仿宋_GB2312" w:cs="Times New Roman"/>
          <w:color w:val="auto"/>
          <w:sz w:val="32"/>
          <w:szCs w:val="32"/>
          <w:highlight w:val="none"/>
          <w:lang w:val="en-US" w:eastAsia="zh-CN"/>
        </w:rPr>
        <w:t>14</w:t>
      </w:r>
      <w:r>
        <w:rPr>
          <w:rFonts w:hint="default" w:ascii="Times New Roman" w:hAnsi="Times New Roman" w:eastAsia="仿宋_GB2312" w:cs="Times New Roman"/>
          <w:color w:val="auto"/>
          <w:sz w:val="32"/>
          <w:szCs w:val="32"/>
          <w:highlight w:val="none"/>
          <w:lang w:val="en" w:eastAsia="zh-CN"/>
        </w:rPr>
        <w:t>50.6</w:t>
      </w:r>
      <w:r>
        <w:rPr>
          <w:rFonts w:hint="default" w:ascii="Times New Roman" w:hAnsi="Times New Roman" w:eastAsia="仿宋_GB2312" w:cs="Times New Roman"/>
          <w:color w:val="auto"/>
          <w:sz w:val="32"/>
          <w:szCs w:val="32"/>
          <w:highlight w:val="none"/>
          <w:lang w:val="en-US" w:eastAsia="zh-CN"/>
        </w:rPr>
        <w:t>亿元；市级债务限额</w:t>
      </w:r>
      <w:r>
        <w:rPr>
          <w:rFonts w:hint="default" w:ascii="Times New Roman" w:hAnsi="Times New Roman" w:eastAsia="仿宋_GB2312" w:cs="Times New Roman"/>
          <w:color w:val="auto"/>
          <w:sz w:val="32"/>
          <w:szCs w:val="32"/>
          <w:highlight w:val="none"/>
          <w:lang w:val="en" w:eastAsia="zh-CN"/>
        </w:rPr>
        <w:t>8219.6</w:t>
      </w:r>
      <w:r>
        <w:rPr>
          <w:rFonts w:hint="default" w:ascii="Times New Roman" w:hAnsi="Times New Roman" w:eastAsia="仿宋_GB2312" w:cs="Times New Roman"/>
          <w:color w:val="auto"/>
          <w:sz w:val="32"/>
          <w:szCs w:val="32"/>
          <w:highlight w:val="none"/>
          <w:lang w:val="en-US" w:eastAsia="zh-CN"/>
        </w:rPr>
        <w:t>亿元，余额</w:t>
      </w:r>
      <w:r>
        <w:rPr>
          <w:rFonts w:hint="eastAsia" w:ascii="Times New Roman" w:hAnsi="Times New Roman" w:eastAsia="仿宋_GB2312" w:cs="Times New Roman"/>
          <w:color w:val="auto"/>
          <w:sz w:val="32"/>
          <w:szCs w:val="32"/>
          <w:highlight w:val="none"/>
          <w:lang w:val="en-US" w:eastAsia="zh-CN"/>
        </w:rPr>
        <w:t>7824</w:t>
      </w:r>
      <w:r>
        <w:rPr>
          <w:rFonts w:hint="default" w:ascii="Times New Roman" w:hAnsi="Times New Roman" w:eastAsia="仿宋_GB2312" w:cs="Times New Roman"/>
          <w:color w:val="auto"/>
          <w:sz w:val="32"/>
          <w:szCs w:val="32"/>
          <w:highlight w:val="none"/>
          <w:lang w:val="en-US" w:eastAsia="zh-CN"/>
        </w:rPr>
        <w:t>亿元</w:t>
      </w:r>
      <w:r>
        <w:rPr>
          <w:rFonts w:hint="default" w:ascii="Times New Roman" w:hAnsi="Times New Roman" w:eastAsia="仿宋_GB2312" w:cs="Times New Roman"/>
          <w:color w:val="auto"/>
          <w:sz w:val="32"/>
          <w:szCs w:val="32"/>
          <w:highlight w:val="none"/>
          <w:lang w:val="en" w:eastAsia="zh-CN"/>
        </w:rPr>
        <w:t>;县</w:t>
      </w:r>
      <w:r>
        <w:rPr>
          <w:rFonts w:hint="default" w:ascii="Times New Roman" w:hAnsi="Times New Roman" w:eastAsia="仿宋_GB2312" w:cs="Times New Roman"/>
          <w:color w:val="auto"/>
          <w:sz w:val="32"/>
          <w:szCs w:val="32"/>
          <w:highlight w:val="none"/>
          <w:lang w:val="en-US" w:eastAsia="zh-CN"/>
        </w:rPr>
        <w:t>级债务限额</w:t>
      </w:r>
      <w:r>
        <w:rPr>
          <w:rFonts w:hint="default" w:ascii="Times New Roman" w:hAnsi="Times New Roman" w:eastAsia="仿宋_GB2312" w:cs="Times New Roman"/>
          <w:color w:val="auto"/>
          <w:sz w:val="32"/>
          <w:szCs w:val="32"/>
          <w:highlight w:val="none"/>
          <w:lang w:val="en" w:eastAsia="zh-CN"/>
        </w:rPr>
        <w:t>19870</w:t>
      </w:r>
      <w:r>
        <w:rPr>
          <w:rFonts w:hint="default" w:ascii="Times New Roman" w:hAnsi="Times New Roman" w:eastAsia="仿宋_GB2312" w:cs="Times New Roman"/>
          <w:color w:val="auto"/>
          <w:sz w:val="32"/>
          <w:szCs w:val="32"/>
          <w:highlight w:val="none"/>
          <w:lang w:val="en-US" w:eastAsia="zh-CN"/>
        </w:rPr>
        <w:t>亿元，余额</w:t>
      </w:r>
      <w:r>
        <w:rPr>
          <w:rFonts w:hint="eastAsia" w:ascii="Times New Roman" w:hAnsi="Times New Roman" w:eastAsia="仿宋_GB2312" w:cs="Times New Roman"/>
          <w:color w:val="auto"/>
          <w:sz w:val="32"/>
          <w:szCs w:val="32"/>
          <w:highlight w:val="none"/>
          <w:lang w:val="en-US" w:eastAsia="zh-CN"/>
        </w:rPr>
        <w:t>18740.4</w:t>
      </w:r>
      <w:r>
        <w:rPr>
          <w:rFonts w:hint="default" w:ascii="Times New Roman" w:hAnsi="Times New Roman" w:eastAsia="仿宋_GB2312" w:cs="Times New Roman"/>
          <w:color w:val="auto"/>
          <w:sz w:val="32"/>
          <w:szCs w:val="32"/>
          <w:highlight w:val="none"/>
          <w:lang w:val="en-US" w:eastAsia="zh-CN"/>
        </w:rPr>
        <w:t>亿元。</w:t>
      </w:r>
    </w:p>
    <w:p>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202</w:t>
      </w:r>
      <w:r>
        <w:rPr>
          <w:rFonts w:hint="eastAsia"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val="en-US" w:eastAsia="zh-CN"/>
        </w:rPr>
        <w:t>年，全省新增政府债券主要聚焦</w:t>
      </w:r>
      <w:r>
        <w:rPr>
          <w:rFonts w:hint="eastAsia" w:ascii="Times New Roman" w:hAnsi="Times New Roman" w:eastAsia="仿宋_GB2312" w:cs="Times New Roman"/>
          <w:color w:val="auto"/>
          <w:sz w:val="32"/>
          <w:szCs w:val="32"/>
          <w:highlight w:val="none"/>
          <w:lang w:val="en-US" w:eastAsia="zh-CN"/>
        </w:rPr>
        <w:t>交通、社会事业、产业园区</w:t>
      </w:r>
      <w:r>
        <w:rPr>
          <w:rFonts w:hint="default" w:ascii="Times New Roman" w:hAnsi="Times New Roman" w:eastAsia="仿宋_GB2312" w:cs="Times New Roman"/>
          <w:color w:val="auto"/>
          <w:sz w:val="32"/>
          <w:szCs w:val="32"/>
          <w:highlight w:val="none"/>
          <w:lang w:val="en-US" w:eastAsia="zh-CN"/>
        </w:rPr>
        <w:t>等领域，有力支持了</w:t>
      </w:r>
      <w:r>
        <w:rPr>
          <w:rFonts w:hint="eastAsia" w:ascii="Times New Roman" w:hAnsi="Times New Roman" w:eastAsia="仿宋_GB2312" w:cs="Times New Roman"/>
          <w:color w:val="auto"/>
          <w:sz w:val="32"/>
          <w:szCs w:val="32"/>
          <w:highlight w:val="none"/>
          <w:lang w:val="en-US" w:eastAsia="zh-CN"/>
        </w:rPr>
        <w:t>成达万铁路、向家坝灌区</w:t>
      </w:r>
      <w:r>
        <w:rPr>
          <w:rFonts w:hint="default" w:ascii="Times New Roman" w:hAnsi="Times New Roman" w:eastAsia="仿宋_GB2312" w:cs="Times New Roman"/>
          <w:color w:val="auto"/>
          <w:sz w:val="32"/>
          <w:szCs w:val="32"/>
          <w:highlight w:val="none"/>
          <w:lang w:val="en-US" w:eastAsia="zh-CN"/>
        </w:rPr>
        <w:t>等重大项目建设</w:t>
      </w:r>
      <w:r>
        <w:rPr>
          <w:rFonts w:hint="default" w:ascii="Times New Roman" w:hAnsi="Times New Roman" w:eastAsia="仿宋_GB2312" w:cs="Times New Roman"/>
          <w:color w:val="auto"/>
          <w:sz w:val="32"/>
          <w:szCs w:val="32"/>
          <w:highlight w:val="none"/>
        </w:rPr>
        <w:t>。</w:t>
      </w:r>
    </w:p>
    <w:p>
      <w:pPr>
        <w:pStyle w:val="4"/>
        <w:keepNext w:val="0"/>
        <w:keepLines w:val="0"/>
        <w:pageBreakBefore w:val="0"/>
        <w:widowControl w:val="0"/>
        <w:kinsoku/>
        <w:wordWrap/>
        <w:overflowPunct/>
        <w:topLinePunct w:val="0"/>
        <w:autoSpaceDE/>
        <w:autoSpaceDN/>
        <w:bidi w:val="0"/>
        <w:adjustRightInd/>
        <w:snapToGrid w:val="0"/>
        <w:spacing w:line="580" w:lineRule="exact"/>
        <w:ind w:firstLine="616" w:firstLineChars="192"/>
        <w:textAlignment w:val="auto"/>
        <w:rPr>
          <w:rFonts w:hint="default" w:ascii="Times New Roman" w:hAnsi="Times New Roman" w:eastAsia="楷体_GB2312" w:cs="Times New Roman"/>
          <w:b/>
          <w:bCs/>
          <w:color w:val="auto"/>
          <w:sz w:val="32"/>
          <w:szCs w:val="32"/>
          <w:highlight w:val="none"/>
        </w:rPr>
      </w:pPr>
      <w:r>
        <w:rPr>
          <w:rFonts w:hint="default" w:ascii="Times New Roman" w:hAnsi="Times New Roman" w:eastAsia="楷体_GB2312" w:cs="Times New Roman"/>
          <w:b/>
          <w:bCs/>
          <w:color w:val="auto"/>
          <w:sz w:val="32"/>
          <w:szCs w:val="32"/>
          <w:highlight w:val="none"/>
        </w:rPr>
        <w:t>（二）四川省加强债务管理、防范化解政府债务风险采取的主要措施。</w:t>
      </w:r>
    </w:p>
    <w:p>
      <w:pPr>
        <w:pStyle w:val="4"/>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四川省委、省政府高度重视政府债务管理工作，积极采取有效措施完善相关制度机制，切实防范和化解地方政府债务风险。</w:t>
      </w:r>
    </w:p>
    <w:p>
      <w:pPr>
        <w:pStyle w:val="4"/>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b w:val="0"/>
          <w:bCs w:val="0"/>
          <w:color w:val="auto"/>
          <w:sz w:val="32"/>
          <w:szCs w:val="32"/>
          <w:highlight w:val="none"/>
          <w:lang w:val="en-US" w:eastAsia="zh-CN"/>
        </w:rPr>
        <w:t>1</w:t>
      </w:r>
      <w:r>
        <w:rPr>
          <w:rFonts w:hint="default" w:ascii="Times New Roman" w:hAnsi="Times New Roman" w:eastAsia="楷体_GB2312" w:cs="Times New Roman"/>
          <w:color w:val="auto"/>
          <w:sz w:val="32"/>
          <w:szCs w:val="32"/>
          <w:highlight w:val="none"/>
          <w:lang w:val="en-US" w:eastAsia="zh-CN"/>
        </w:rPr>
        <w:t>.</w:t>
      </w:r>
      <w:r>
        <w:rPr>
          <w:rFonts w:hint="default" w:ascii="Times New Roman" w:hAnsi="Times New Roman" w:eastAsia="楷体_GB2312" w:cs="Times New Roman"/>
          <w:color w:val="auto"/>
          <w:sz w:val="32"/>
          <w:szCs w:val="32"/>
          <w:highlight w:val="none"/>
        </w:rPr>
        <w:t>加强统筹部署，完善政府债务管理。</w:t>
      </w:r>
    </w:p>
    <w:p>
      <w:pPr>
        <w:pStyle w:val="4"/>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b/>
          <w:bCs/>
          <w:color w:val="auto"/>
          <w:sz w:val="32"/>
          <w:szCs w:val="32"/>
          <w:highlight w:val="none"/>
          <w:lang w:val="en-US" w:eastAsia="zh-CN"/>
        </w:rPr>
        <w:t>（1）</w:t>
      </w:r>
      <w:r>
        <w:rPr>
          <w:rFonts w:hint="default" w:ascii="Times New Roman" w:hAnsi="Times New Roman" w:eastAsia="仿宋_GB2312" w:cs="Times New Roman"/>
          <w:b/>
          <w:bCs/>
          <w:color w:val="auto"/>
          <w:sz w:val="32"/>
          <w:szCs w:val="32"/>
          <w:highlight w:val="none"/>
          <w:lang w:eastAsia="zh-CN"/>
        </w:rPr>
        <w:t>完善管理制度机制</w:t>
      </w:r>
      <w:r>
        <w:rPr>
          <w:rFonts w:hint="default" w:ascii="Times New Roman" w:hAnsi="Times New Roman" w:eastAsia="仿宋_GB2312" w:cs="Times New Roman"/>
          <w:b/>
          <w:bCs/>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建立发改、财政双牵头，主管部门分工负责的“2+N”债券管理新机制，</w:t>
      </w:r>
      <w:r>
        <w:rPr>
          <w:rFonts w:hint="default" w:ascii="Times New Roman" w:hAnsi="Times New Roman" w:eastAsia="仿宋_GB2312" w:cs="Times New Roman"/>
          <w:color w:val="auto"/>
          <w:sz w:val="32"/>
          <w:szCs w:val="32"/>
          <w:highlight w:val="none"/>
        </w:rPr>
        <w:t>印发《四川省债券项目全生命周期管理工作机制》</w:t>
      </w:r>
      <w:r>
        <w:rPr>
          <w:rFonts w:hint="eastAsia" w:ascii="Times New Roman" w:hAnsi="Times New Roman" w:eastAsia="仿宋_GB2312" w:cs="Times New Roman"/>
          <w:color w:val="auto"/>
          <w:sz w:val="32"/>
          <w:szCs w:val="32"/>
          <w:highlight w:val="none"/>
          <w:lang w:val="en-US" w:eastAsia="zh-CN"/>
        </w:rPr>
        <w:t>作为管总文件，配套出台审核标准、行业分工、工作流程等，加强专项债券“借、用、管、还”全生命周期管理</w:t>
      </w:r>
      <w:r>
        <w:rPr>
          <w:rFonts w:hint="default" w:ascii="Times New Roman" w:hAnsi="Times New Roman" w:eastAsia="仿宋_GB2312" w:cs="Times New Roman"/>
          <w:color w:val="auto"/>
          <w:sz w:val="32"/>
          <w:szCs w:val="32"/>
          <w:highlight w:val="none"/>
          <w:lang w:eastAsia="zh-CN"/>
        </w:rPr>
        <w:t>。</w:t>
      </w:r>
    </w:p>
    <w:p>
      <w:pPr>
        <w:pStyle w:val="4"/>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（2）</w:t>
      </w:r>
      <w:r>
        <w:rPr>
          <w:rFonts w:hint="eastAsia" w:ascii="Times New Roman" w:hAnsi="Times New Roman" w:eastAsia="仿宋_GB2312" w:cs="Times New Roman"/>
          <w:b/>
          <w:bCs/>
          <w:color w:val="auto"/>
          <w:sz w:val="32"/>
          <w:szCs w:val="32"/>
          <w:highlight w:val="none"/>
          <w:lang w:val="en-US" w:eastAsia="zh-CN"/>
        </w:rPr>
        <w:t>强化债券资金监管</w:t>
      </w:r>
      <w:r>
        <w:rPr>
          <w:rFonts w:hint="default" w:ascii="Times New Roman" w:hAnsi="Times New Roman" w:eastAsia="仿宋_GB2312" w:cs="Times New Roman"/>
          <w:b/>
          <w:bCs/>
          <w:color w:val="auto"/>
          <w:sz w:val="32"/>
          <w:szCs w:val="32"/>
          <w:highlight w:val="none"/>
          <w:lang w:val="en-US" w:eastAsia="zh-CN"/>
        </w:rPr>
        <w:t>。</w:t>
      </w:r>
      <w:r>
        <w:rPr>
          <w:rFonts w:hint="eastAsia" w:ascii="Times New Roman" w:hAnsi="Times New Roman" w:eastAsia="仿宋_GB2312" w:cs="Times New Roman"/>
          <w:b w:val="0"/>
          <w:bCs w:val="0"/>
          <w:color w:val="auto"/>
          <w:sz w:val="32"/>
          <w:szCs w:val="32"/>
          <w:highlight w:val="none"/>
          <w:lang w:val="en-US" w:eastAsia="zh-CN"/>
        </w:rPr>
        <w:t>建立专项债券专户管理，</w:t>
      </w:r>
      <w:r>
        <w:rPr>
          <w:rFonts w:hint="default" w:ascii="Times New Roman" w:hAnsi="Times New Roman" w:eastAsia="仿宋_GB2312" w:cs="Times New Roman"/>
          <w:color w:val="auto"/>
          <w:sz w:val="32"/>
          <w:szCs w:val="32"/>
          <w:highlight w:val="none"/>
          <w:lang w:val="en-US" w:eastAsia="zh-CN"/>
        </w:rPr>
        <w:t>债券资金专款专用</w:t>
      </w:r>
      <w:r>
        <w:rPr>
          <w:rFonts w:hint="eastAsia" w:ascii="Times New Roman" w:hAnsi="Times New Roman" w:eastAsia="仿宋_GB2312" w:cs="Times New Roman"/>
          <w:color w:val="auto"/>
          <w:sz w:val="32"/>
          <w:szCs w:val="32"/>
          <w:highlight w:val="none"/>
          <w:lang w:val="en-US" w:eastAsia="zh-CN"/>
        </w:rPr>
        <w:t>。针对发现的各类债券项目资金管理问题，印发专项工作方案，从事前准入把关、事中监测调度、事后运营管理、全程监督问效四个方面强化管理要求，提高专项债券资金使用效益</w:t>
      </w:r>
      <w:r>
        <w:rPr>
          <w:rFonts w:hint="default" w:ascii="Times New Roman" w:hAnsi="Times New Roman" w:eastAsia="仿宋_GB2312" w:cs="Times New Roman"/>
          <w:color w:val="auto"/>
          <w:sz w:val="32"/>
          <w:szCs w:val="32"/>
          <w:highlight w:val="none"/>
          <w:lang w:val="en-US" w:eastAsia="zh-CN"/>
        </w:rPr>
        <w:t>。</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楷体_GB2312" w:cs="Times New Roman"/>
          <w:color w:val="auto"/>
          <w:kern w:val="2"/>
          <w:sz w:val="32"/>
          <w:szCs w:val="32"/>
          <w:highlight w:val="none"/>
          <w:lang w:val="en-US" w:eastAsia="zh-CN" w:bidi="ar-SA"/>
        </w:rPr>
      </w:pPr>
      <w:r>
        <w:rPr>
          <w:rFonts w:hint="default" w:ascii="Times New Roman" w:hAnsi="Times New Roman" w:eastAsia="方正楷体简体" w:cs="Times New Roman"/>
          <w:color w:val="auto"/>
          <w:kern w:val="2"/>
          <w:sz w:val="32"/>
          <w:szCs w:val="32"/>
          <w:highlight w:val="none"/>
          <w:lang w:val="en-US" w:eastAsia="zh-CN" w:bidi="ar-SA"/>
        </w:rPr>
        <w:t>2</w:t>
      </w:r>
      <w:r>
        <w:rPr>
          <w:rFonts w:hint="default" w:ascii="Times New Roman" w:hAnsi="Times New Roman" w:eastAsia="楷体_GB2312" w:cs="Times New Roman"/>
          <w:color w:val="auto"/>
          <w:kern w:val="2"/>
          <w:sz w:val="32"/>
          <w:szCs w:val="32"/>
          <w:highlight w:val="none"/>
          <w:lang w:val="en-US" w:eastAsia="zh-CN" w:bidi="ar-SA"/>
        </w:rPr>
        <w:t>.聚焦重点领域，加力促投资稳增长。</w:t>
      </w:r>
    </w:p>
    <w:p>
      <w:pPr>
        <w:pStyle w:val="4"/>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（1）积极落实中央和省委安排部署。</w:t>
      </w:r>
      <w:r>
        <w:rPr>
          <w:rFonts w:hint="default" w:ascii="Times New Roman" w:hAnsi="Times New Roman" w:eastAsia="仿宋_GB2312" w:cs="Times New Roman"/>
          <w:color w:val="auto"/>
          <w:sz w:val="32"/>
          <w:szCs w:val="32"/>
          <w:highlight w:val="none"/>
          <w:lang w:val="en-US" w:eastAsia="zh-CN"/>
        </w:rPr>
        <w:t>坚持“资金跟着项目走”原则，聚焦成渝地区双城经济圈建设、重大基础设施、</w:t>
      </w:r>
      <w:r>
        <w:rPr>
          <w:rFonts w:hint="eastAsia" w:ascii="Times New Roman" w:hAnsi="Times New Roman" w:eastAsia="仿宋_GB2312" w:cs="Times New Roman"/>
          <w:color w:val="auto"/>
          <w:sz w:val="32"/>
          <w:szCs w:val="32"/>
          <w:highlight w:val="none"/>
          <w:lang w:val="en-US" w:eastAsia="zh-CN"/>
        </w:rPr>
        <w:t>科技和产业发展</w:t>
      </w:r>
      <w:r>
        <w:rPr>
          <w:rFonts w:hint="default" w:ascii="Times New Roman" w:hAnsi="Times New Roman" w:eastAsia="仿宋_GB2312" w:cs="Times New Roman"/>
          <w:color w:val="auto"/>
          <w:sz w:val="32"/>
          <w:szCs w:val="32"/>
          <w:highlight w:val="none"/>
          <w:lang w:val="en-US" w:eastAsia="zh-CN"/>
        </w:rPr>
        <w:t>、民生保障等</w:t>
      </w:r>
      <w:r>
        <w:rPr>
          <w:rFonts w:hint="eastAsia" w:ascii="Times New Roman" w:hAnsi="Times New Roman" w:eastAsia="仿宋_GB2312" w:cs="Times New Roman"/>
          <w:color w:val="auto"/>
          <w:sz w:val="32"/>
          <w:szCs w:val="32"/>
          <w:highlight w:val="none"/>
          <w:lang w:val="en-US" w:eastAsia="zh-CN"/>
        </w:rPr>
        <w:t>领域</w:t>
      </w:r>
      <w:r>
        <w:rPr>
          <w:rFonts w:hint="default" w:ascii="Times New Roman" w:hAnsi="Times New Roman" w:eastAsia="仿宋_GB2312" w:cs="Times New Roman"/>
          <w:color w:val="auto"/>
          <w:sz w:val="32"/>
          <w:szCs w:val="32"/>
          <w:highlight w:val="none"/>
          <w:lang w:val="en-US" w:eastAsia="zh-CN"/>
        </w:rPr>
        <w:t>，优先支持省委省政府明确的</w:t>
      </w:r>
      <w:r>
        <w:rPr>
          <w:rFonts w:hint="eastAsia" w:ascii="Times New Roman" w:hAnsi="Times New Roman" w:eastAsia="仿宋_GB2312" w:cs="Times New Roman"/>
          <w:color w:val="auto"/>
          <w:sz w:val="32"/>
          <w:szCs w:val="32"/>
          <w:highlight w:val="none"/>
          <w:lang w:val="en-US" w:eastAsia="zh-CN"/>
        </w:rPr>
        <w:t>重大项目</w:t>
      </w:r>
      <w:r>
        <w:rPr>
          <w:rFonts w:hint="default" w:ascii="Times New Roman" w:hAnsi="Times New Roman" w:eastAsia="仿宋_GB2312" w:cs="Times New Roman"/>
          <w:color w:val="auto"/>
          <w:sz w:val="32"/>
          <w:szCs w:val="32"/>
          <w:highlight w:val="none"/>
          <w:lang w:val="en-US" w:eastAsia="zh-CN"/>
        </w:rPr>
        <w:t>，增强对重大战略决策的支撑力度，充分发挥债券资金逆周期调节、“补短板、惠民生、促消费、扩内需”的积极作用。</w:t>
      </w:r>
    </w:p>
    <w:p>
      <w:pPr>
        <w:pStyle w:val="4"/>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（2）精心优选债券发行项目。</w:t>
      </w:r>
      <w:r>
        <w:rPr>
          <w:rFonts w:hint="default" w:ascii="Times New Roman" w:hAnsi="Times New Roman" w:eastAsia="仿宋_GB2312" w:cs="Times New Roman"/>
          <w:color w:val="auto"/>
          <w:sz w:val="32"/>
          <w:szCs w:val="32"/>
          <w:highlight w:val="none"/>
          <w:lang w:val="en-US" w:eastAsia="zh-CN"/>
        </w:rPr>
        <w:t>坚持专项债券用于有一定收益的公益性项目，</w:t>
      </w:r>
      <w:r>
        <w:rPr>
          <w:rFonts w:hint="eastAsia" w:ascii="Times New Roman" w:hAnsi="Times New Roman" w:eastAsia="仿宋_GB2312" w:cs="Times New Roman"/>
          <w:color w:val="auto"/>
          <w:sz w:val="32"/>
          <w:szCs w:val="32"/>
          <w:highlight w:val="none"/>
          <w:lang w:val="en-US" w:eastAsia="zh-CN"/>
        </w:rPr>
        <w:t>聚焦投向领域、建设内容、前期准备等，加强项目合规性审核。同时，围绕项目成熟度加强发行前</w:t>
      </w:r>
      <w:r>
        <w:rPr>
          <w:rFonts w:hint="default" w:ascii="Times New Roman" w:hAnsi="Times New Roman" w:eastAsia="仿宋_GB2312" w:cs="Times New Roman"/>
          <w:color w:val="auto"/>
          <w:sz w:val="32"/>
          <w:szCs w:val="32"/>
          <w:highlight w:val="none"/>
          <w:lang w:val="en-US" w:eastAsia="zh-CN"/>
        </w:rPr>
        <w:t>把关，</w:t>
      </w:r>
      <w:r>
        <w:rPr>
          <w:rFonts w:hint="eastAsia" w:ascii="Times New Roman" w:hAnsi="Times New Roman" w:eastAsia="仿宋_GB2312" w:cs="Times New Roman"/>
          <w:color w:val="auto"/>
          <w:sz w:val="32"/>
          <w:szCs w:val="32"/>
          <w:highlight w:val="none"/>
          <w:lang w:val="en-US" w:eastAsia="zh-CN"/>
        </w:rPr>
        <w:t>推动专项债券资金用于在建项目和成熟度高的新项目，实现“早发快用”</w:t>
      </w:r>
      <w:r>
        <w:rPr>
          <w:rFonts w:hint="default" w:ascii="Times New Roman" w:hAnsi="Times New Roman" w:eastAsia="仿宋_GB2312" w:cs="Times New Roman"/>
          <w:color w:val="auto"/>
          <w:sz w:val="32"/>
          <w:szCs w:val="32"/>
          <w:highlight w:val="none"/>
          <w:lang w:val="en-US" w:eastAsia="zh-CN"/>
        </w:rPr>
        <w:t>。</w:t>
      </w:r>
    </w:p>
    <w:p>
      <w:pPr>
        <w:pStyle w:val="4"/>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（3）加快债券使用进度。</w:t>
      </w:r>
      <w:r>
        <w:rPr>
          <w:rFonts w:hint="default" w:ascii="Times New Roman" w:hAnsi="Times New Roman" w:eastAsia="仿宋_GB2312" w:cs="Times New Roman"/>
          <w:color w:val="auto"/>
          <w:sz w:val="32"/>
          <w:szCs w:val="32"/>
          <w:highlight w:val="none"/>
          <w:lang w:val="en-US" w:eastAsia="zh-CN"/>
        </w:rPr>
        <w:t>提前做好资金拨付方案，确保新增债券资金及时拨付至市县；建立</w:t>
      </w:r>
      <w:r>
        <w:rPr>
          <w:rFonts w:hint="eastAsia" w:ascii="Times New Roman" w:hAnsi="Times New Roman" w:eastAsia="仿宋_GB2312" w:cs="Times New Roman"/>
          <w:color w:val="auto"/>
          <w:sz w:val="32"/>
          <w:szCs w:val="32"/>
          <w:highlight w:val="none"/>
          <w:lang w:val="en-US" w:eastAsia="zh-CN"/>
        </w:rPr>
        <w:t>定期监测通报</w:t>
      </w:r>
      <w:r>
        <w:rPr>
          <w:rFonts w:hint="default" w:ascii="Times New Roman" w:hAnsi="Times New Roman" w:eastAsia="仿宋_GB2312" w:cs="Times New Roman"/>
          <w:color w:val="auto"/>
          <w:sz w:val="32"/>
          <w:szCs w:val="32"/>
          <w:highlight w:val="none"/>
          <w:lang w:val="en-US" w:eastAsia="zh-CN"/>
        </w:rPr>
        <w:t>机制，“点对点”提示进度明显落后地区</w:t>
      </w:r>
      <w:r>
        <w:rPr>
          <w:rFonts w:hint="eastAsia" w:ascii="Times New Roman" w:hAnsi="Times New Roman" w:eastAsia="仿宋_GB2312" w:cs="Times New Roman"/>
          <w:color w:val="auto"/>
          <w:sz w:val="32"/>
          <w:szCs w:val="32"/>
          <w:highlight w:val="none"/>
          <w:lang w:val="en-US" w:eastAsia="zh-CN"/>
        </w:rPr>
        <w:t>；发挥“2+N”机制作用开展专项督导，</w:t>
      </w:r>
      <w:r>
        <w:rPr>
          <w:rFonts w:hint="default" w:ascii="Times New Roman" w:hAnsi="Times New Roman" w:eastAsia="仿宋_GB2312" w:cs="Times New Roman"/>
          <w:color w:val="auto"/>
          <w:sz w:val="32"/>
          <w:szCs w:val="32"/>
          <w:highlight w:val="none"/>
          <w:lang w:val="en-US" w:eastAsia="zh-CN"/>
        </w:rPr>
        <w:t>督促市县</w:t>
      </w:r>
      <w:r>
        <w:rPr>
          <w:rFonts w:hint="eastAsia" w:ascii="Times New Roman" w:hAnsi="Times New Roman" w:eastAsia="仿宋_GB2312" w:cs="Times New Roman"/>
          <w:color w:val="auto"/>
          <w:sz w:val="32"/>
          <w:szCs w:val="32"/>
          <w:highlight w:val="none"/>
          <w:lang w:val="en-US" w:eastAsia="zh-CN"/>
        </w:rPr>
        <w:t>债券资金拨付进度与项目实施进度相匹配。</w:t>
      </w:r>
    </w:p>
    <w:p>
      <w:pPr>
        <w:pStyle w:val="4"/>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楷体_GB2312" w:cs="Times New Roman"/>
          <w:color w:val="auto"/>
          <w:sz w:val="32"/>
          <w:szCs w:val="32"/>
          <w:highlight w:val="none"/>
          <w:lang w:val="en-US" w:eastAsia="zh-CN"/>
        </w:rPr>
      </w:pPr>
      <w:r>
        <w:rPr>
          <w:rFonts w:hint="default" w:ascii="Times New Roman" w:hAnsi="Times New Roman" w:eastAsia="楷体_GB2312" w:cs="Times New Roman"/>
          <w:color w:val="auto"/>
          <w:sz w:val="32"/>
          <w:szCs w:val="32"/>
          <w:highlight w:val="none"/>
          <w:lang w:val="en-US" w:eastAsia="zh-CN"/>
        </w:rPr>
        <w:t>3.强化风险防控，牢牢守住防范风险底线。</w:t>
      </w:r>
    </w:p>
    <w:p>
      <w:pPr>
        <w:pStyle w:val="4"/>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（1）严格债务限额管理。</w:t>
      </w:r>
      <w:r>
        <w:rPr>
          <w:rFonts w:hint="default" w:ascii="Times New Roman" w:hAnsi="Times New Roman" w:eastAsia="仿宋_GB2312" w:cs="Times New Roman"/>
          <w:b w:val="0"/>
          <w:bCs w:val="0"/>
          <w:color w:val="auto"/>
          <w:sz w:val="32"/>
          <w:szCs w:val="32"/>
          <w:highlight w:val="none"/>
          <w:lang w:val="en-US" w:eastAsia="zh-CN"/>
        </w:rPr>
        <w:t>加快构建同高质量发展相适应的政府债务管理长效机制</w:t>
      </w:r>
      <w:r>
        <w:rPr>
          <w:rFonts w:hint="eastAsia" w:ascii="Times New Roman" w:hAnsi="Times New Roman"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rPr>
        <w:t>根据</w:t>
      </w:r>
      <w:r>
        <w:rPr>
          <w:rFonts w:hint="default" w:ascii="Times New Roman" w:hAnsi="Times New Roman" w:eastAsia="仿宋_GB2312" w:cs="Times New Roman"/>
          <w:b w:val="0"/>
          <w:bCs w:val="0"/>
          <w:color w:val="auto"/>
          <w:sz w:val="32"/>
          <w:szCs w:val="32"/>
          <w:highlight w:val="none"/>
          <w:lang w:eastAsia="zh-CN"/>
        </w:rPr>
        <w:t>债务</w:t>
      </w:r>
      <w:r>
        <w:rPr>
          <w:rFonts w:hint="default" w:ascii="Times New Roman" w:hAnsi="Times New Roman" w:eastAsia="仿宋_GB2312" w:cs="Times New Roman"/>
          <w:b w:val="0"/>
          <w:bCs w:val="0"/>
          <w:color w:val="auto"/>
          <w:sz w:val="32"/>
          <w:szCs w:val="32"/>
          <w:highlight w:val="none"/>
        </w:rPr>
        <w:t>风险等因素科学分配市县新增</w:t>
      </w:r>
      <w:r>
        <w:rPr>
          <w:rFonts w:hint="default" w:ascii="Times New Roman" w:hAnsi="Times New Roman" w:eastAsia="仿宋_GB2312" w:cs="Times New Roman"/>
          <w:b w:val="0"/>
          <w:bCs w:val="0"/>
          <w:color w:val="auto"/>
          <w:sz w:val="32"/>
          <w:szCs w:val="32"/>
          <w:highlight w:val="none"/>
          <w:lang w:eastAsia="zh-CN"/>
        </w:rPr>
        <w:t>债务</w:t>
      </w:r>
      <w:r>
        <w:rPr>
          <w:rFonts w:hint="default" w:ascii="Times New Roman" w:hAnsi="Times New Roman" w:eastAsia="仿宋_GB2312" w:cs="Times New Roman"/>
          <w:b w:val="0"/>
          <w:bCs w:val="0"/>
          <w:color w:val="auto"/>
          <w:sz w:val="32"/>
          <w:szCs w:val="32"/>
          <w:highlight w:val="none"/>
        </w:rPr>
        <w:t>限额，对</w:t>
      </w:r>
      <w:r>
        <w:rPr>
          <w:rFonts w:hint="default" w:ascii="Times New Roman" w:hAnsi="Times New Roman" w:eastAsia="仿宋_GB2312" w:cs="Times New Roman"/>
          <w:b w:val="0"/>
          <w:bCs w:val="0"/>
          <w:color w:val="auto"/>
          <w:sz w:val="32"/>
          <w:szCs w:val="32"/>
          <w:highlight w:val="none"/>
          <w:lang w:eastAsia="zh-CN"/>
        </w:rPr>
        <w:t>债务</w:t>
      </w:r>
      <w:r>
        <w:rPr>
          <w:rFonts w:hint="default" w:ascii="Times New Roman" w:hAnsi="Times New Roman" w:eastAsia="仿宋_GB2312" w:cs="Times New Roman"/>
          <w:b w:val="0"/>
          <w:bCs w:val="0"/>
          <w:color w:val="auto"/>
          <w:sz w:val="32"/>
          <w:szCs w:val="32"/>
          <w:highlight w:val="none"/>
        </w:rPr>
        <w:t>风险较高地区适当限制新增债券额度，引导地方政府加大化债力度，控制</w:t>
      </w:r>
      <w:r>
        <w:rPr>
          <w:rFonts w:hint="default" w:ascii="Times New Roman" w:hAnsi="Times New Roman" w:eastAsia="仿宋_GB2312" w:cs="Times New Roman"/>
          <w:b w:val="0"/>
          <w:bCs w:val="0"/>
          <w:color w:val="auto"/>
          <w:sz w:val="32"/>
          <w:szCs w:val="32"/>
          <w:highlight w:val="none"/>
          <w:lang w:eastAsia="zh-CN"/>
        </w:rPr>
        <w:t>债务</w:t>
      </w:r>
      <w:r>
        <w:rPr>
          <w:rFonts w:hint="default" w:ascii="Times New Roman" w:hAnsi="Times New Roman" w:eastAsia="仿宋_GB2312" w:cs="Times New Roman"/>
          <w:b w:val="0"/>
          <w:bCs w:val="0"/>
          <w:color w:val="auto"/>
          <w:sz w:val="32"/>
          <w:szCs w:val="32"/>
          <w:highlight w:val="none"/>
        </w:rPr>
        <w:t>风险水平。</w:t>
      </w:r>
      <w:r>
        <w:rPr>
          <w:rFonts w:hint="eastAsia" w:ascii="Times New Roman" w:hAnsi="Times New Roman" w:eastAsia="仿宋_GB2312" w:cs="Times New Roman"/>
          <w:b w:val="0"/>
          <w:bCs w:val="0"/>
          <w:color w:val="auto"/>
          <w:sz w:val="32"/>
          <w:szCs w:val="32"/>
          <w:highlight w:val="none"/>
          <w:lang w:val="en-US" w:eastAsia="zh-CN"/>
        </w:rPr>
        <w:t>2025</w:t>
      </w:r>
      <w:r>
        <w:rPr>
          <w:rFonts w:hint="default" w:ascii="Times New Roman" w:hAnsi="Times New Roman" w:eastAsia="仿宋_GB2312" w:cs="Times New Roman"/>
          <w:b w:val="0"/>
          <w:bCs w:val="0"/>
          <w:color w:val="auto"/>
          <w:sz w:val="32"/>
          <w:szCs w:val="32"/>
          <w:highlight w:val="none"/>
          <w:lang w:val="en-US" w:eastAsia="zh-CN"/>
        </w:rPr>
        <w:t>年</w:t>
      </w:r>
      <w:r>
        <w:rPr>
          <w:rFonts w:hint="default" w:ascii="Times New Roman" w:hAnsi="Times New Roman" w:eastAsia="仿宋_GB2312" w:cs="Times New Roman"/>
          <w:b w:val="0"/>
          <w:bCs w:val="0"/>
          <w:color w:val="auto"/>
          <w:sz w:val="32"/>
          <w:szCs w:val="32"/>
          <w:highlight w:val="none"/>
        </w:rPr>
        <w:t>全省政府</w:t>
      </w:r>
      <w:r>
        <w:rPr>
          <w:rFonts w:hint="default" w:ascii="Times New Roman" w:hAnsi="Times New Roman" w:eastAsia="仿宋_GB2312" w:cs="Times New Roman"/>
          <w:b w:val="0"/>
          <w:bCs w:val="0"/>
          <w:color w:val="auto"/>
          <w:sz w:val="32"/>
          <w:szCs w:val="32"/>
          <w:highlight w:val="none"/>
          <w:lang w:eastAsia="zh-CN"/>
        </w:rPr>
        <w:t>债务</w:t>
      </w:r>
      <w:r>
        <w:rPr>
          <w:rFonts w:hint="default" w:ascii="Times New Roman" w:hAnsi="Times New Roman" w:eastAsia="仿宋_GB2312" w:cs="Times New Roman"/>
          <w:b w:val="0"/>
          <w:bCs w:val="0"/>
          <w:color w:val="auto"/>
          <w:sz w:val="32"/>
          <w:szCs w:val="32"/>
          <w:highlight w:val="none"/>
        </w:rPr>
        <w:t>余额严格控制在财政部核定我省</w:t>
      </w:r>
      <w:r>
        <w:rPr>
          <w:rFonts w:hint="default" w:ascii="Times New Roman" w:hAnsi="Times New Roman" w:eastAsia="仿宋_GB2312" w:cs="Times New Roman"/>
          <w:b w:val="0"/>
          <w:bCs w:val="0"/>
          <w:color w:val="auto"/>
          <w:sz w:val="32"/>
          <w:szCs w:val="32"/>
          <w:highlight w:val="none"/>
          <w:lang w:eastAsia="zh-CN"/>
        </w:rPr>
        <w:t>债务</w:t>
      </w:r>
      <w:r>
        <w:rPr>
          <w:rFonts w:hint="default" w:ascii="Times New Roman" w:hAnsi="Times New Roman" w:eastAsia="仿宋_GB2312" w:cs="Times New Roman"/>
          <w:b w:val="0"/>
          <w:bCs w:val="0"/>
          <w:color w:val="auto"/>
          <w:sz w:val="32"/>
          <w:szCs w:val="32"/>
          <w:highlight w:val="none"/>
        </w:rPr>
        <w:t>限额以内，</w:t>
      </w:r>
      <w:r>
        <w:rPr>
          <w:rFonts w:hint="default" w:ascii="Times New Roman" w:hAnsi="Times New Roman" w:eastAsia="仿宋_GB2312" w:cs="Times New Roman"/>
          <w:b w:val="0"/>
          <w:bCs w:val="0"/>
          <w:color w:val="auto"/>
          <w:sz w:val="32"/>
          <w:szCs w:val="32"/>
          <w:highlight w:val="none"/>
          <w:lang w:eastAsia="zh-CN"/>
        </w:rPr>
        <w:t>债务</w:t>
      </w:r>
      <w:r>
        <w:rPr>
          <w:rFonts w:hint="default" w:ascii="Times New Roman" w:hAnsi="Times New Roman" w:eastAsia="仿宋_GB2312" w:cs="Times New Roman"/>
          <w:b w:val="0"/>
          <w:bCs w:val="0"/>
          <w:color w:val="auto"/>
          <w:sz w:val="32"/>
          <w:szCs w:val="32"/>
          <w:highlight w:val="none"/>
        </w:rPr>
        <w:t>风险总体可控</w:t>
      </w:r>
      <w:r>
        <w:rPr>
          <w:rFonts w:hint="default" w:ascii="Times New Roman" w:hAnsi="Times New Roman" w:eastAsia="仿宋_GB2312" w:cs="Times New Roman"/>
          <w:color w:val="auto"/>
          <w:sz w:val="32"/>
          <w:szCs w:val="32"/>
          <w:highlight w:val="none"/>
          <w:lang w:val="en-US" w:eastAsia="zh-CN"/>
        </w:rPr>
        <w:t>。</w:t>
      </w:r>
    </w:p>
    <w:p>
      <w:pPr>
        <w:pStyle w:val="4"/>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（2）全面完成到期政府债务偿还。</w:t>
      </w:r>
      <w:r>
        <w:rPr>
          <w:rFonts w:hint="default" w:ascii="Times New Roman" w:hAnsi="Times New Roman" w:eastAsia="仿宋_GB2312" w:cs="Times New Roman"/>
          <w:color w:val="auto"/>
          <w:sz w:val="32"/>
          <w:szCs w:val="32"/>
          <w:highlight w:val="none"/>
          <w:lang w:val="en-US" w:eastAsia="zh-CN"/>
        </w:rPr>
        <w:t>依法落实法定债券偿还责任，按照“谁使用、谁偿还”的原则，严格落实偿债资金来源，提高自有资金偿债比例，切实维护了省政府信誉。</w:t>
      </w:r>
    </w:p>
    <w:p>
      <w:pPr>
        <w:pStyle w:val="4"/>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（3）强化债务风险监测预警。</w:t>
      </w:r>
      <w:r>
        <w:rPr>
          <w:rFonts w:hint="eastAsia" w:ascii="Times New Roman" w:hAnsi="Times New Roman" w:eastAsia="仿宋_GB2312" w:cs="Times New Roman"/>
          <w:b w:val="0"/>
          <w:bCs w:val="0"/>
          <w:color w:val="auto"/>
          <w:sz w:val="32"/>
          <w:szCs w:val="32"/>
          <w:highlight w:val="none"/>
          <w:lang w:val="en-US" w:eastAsia="zh-CN"/>
        </w:rPr>
        <w:t>实施全口径地方债务监测监管，</w:t>
      </w:r>
      <w:r>
        <w:rPr>
          <w:rFonts w:hint="default" w:ascii="Times New Roman" w:hAnsi="Times New Roman" w:eastAsia="仿宋_GB2312" w:cs="Times New Roman"/>
          <w:b w:val="0"/>
          <w:bCs w:val="0"/>
          <w:color w:val="auto"/>
          <w:sz w:val="32"/>
          <w:szCs w:val="32"/>
          <w:highlight w:val="none"/>
        </w:rPr>
        <w:t>定期开展</w:t>
      </w:r>
      <w:r>
        <w:rPr>
          <w:rFonts w:hint="default" w:ascii="Times New Roman" w:hAnsi="Times New Roman" w:eastAsia="仿宋_GB2312" w:cs="Times New Roman"/>
          <w:b w:val="0"/>
          <w:bCs w:val="0"/>
          <w:color w:val="auto"/>
          <w:sz w:val="32"/>
          <w:szCs w:val="32"/>
          <w:highlight w:val="none"/>
          <w:lang w:eastAsia="zh-CN"/>
        </w:rPr>
        <w:t>债务</w:t>
      </w:r>
      <w:r>
        <w:rPr>
          <w:rFonts w:hint="default" w:ascii="Times New Roman" w:hAnsi="Times New Roman" w:eastAsia="仿宋_GB2312" w:cs="Times New Roman"/>
          <w:b w:val="0"/>
          <w:bCs w:val="0"/>
          <w:color w:val="auto"/>
          <w:sz w:val="32"/>
          <w:szCs w:val="32"/>
          <w:highlight w:val="none"/>
        </w:rPr>
        <w:t>风险评估，及时通报评估结果</w:t>
      </w:r>
      <w:r>
        <w:rPr>
          <w:rFonts w:hint="default" w:ascii="Times New Roman" w:hAnsi="Times New Roman" w:eastAsia="仿宋_GB2312" w:cs="Times New Roman"/>
          <w:b w:val="0"/>
          <w:bCs w:val="0"/>
          <w:color w:val="auto"/>
          <w:sz w:val="32"/>
          <w:szCs w:val="32"/>
          <w:highlight w:val="none"/>
          <w:lang w:eastAsia="zh-CN"/>
        </w:rPr>
        <w:t>，</w:t>
      </w:r>
      <w:r>
        <w:rPr>
          <w:rFonts w:hint="eastAsia" w:ascii="Times New Roman" w:hAnsi="Times New Roman" w:eastAsia="仿宋_GB2312" w:cs="Times New Roman"/>
          <w:b w:val="0"/>
          <w:bCs w:val="0"/>
          <w:color w:val="auto"/>
          <w:sz w:val="32"/>
          <w:szCs w:val="32"/>
          <w:highlight w:val="none"/>
          <w:lang w:eastAsia="zh-CN"/>
        </w:rPr>
        <w:t>督促指导风险较高市县统筹资金资产资源尽全力化债，筑牢防爆雷风险底线</w:t>
      </w:r>
      <w:r>
        <w:rPr>
          <w:rFonts w:hint="default" w:ascii="Times New Roman" w:hAnsi="Times New Roman" w:eastAsia="仿宋_GB2312" w:cs="Times New Roman"/>
          <w:color w:val="auto"/>
          <w:sz w:val="32"/>
          <w:szCs w:val="32"/>
          <w:highlight w:val="none"/>
          <w:lang w:val="en-US" w:eastAsia="zh-CN"/>
        </w:rPr>
        <w:t>。</w:t>
      </w:r>
    </w:p>
    <w:p>
      <w:pPr>
        <w:pStyle w:val="4"/>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bCs/>
          <w:color w:val="auto"/>
          <w:sz w:val="32"/>
          <w:szCs w:val="32"/>
          <w:highlight w:val="none"/>
          <w:lang w:val="en-US" w:eastAsia="zh-CN"/>
        </w:rPr>
        <w:t>（4）严格违规举债追责问责。</w:t>
      </w:r>
      <w:r>
        <w:rPr>
          <w:rFonts w:hint="eastAsia" w:ascii="Times New Roman" w:hAnsi="Times New Roman" w:eastAsia="仿宋_GB2312" w:cs="Times New Roman"/>
          <w:b w:val="0"/>
          <w:bCs w:val="0"/>
          <w:color w:val="auto"/>
          <w:sz w:val="32"/>
          <w:szCs w:val="32"/>
          <w:highlight w:val="none"/>
          <w:lang w:eastAsia="zh-CN"/>
        </w:rPr>
        <w:t>保持遏制新增隐性债务“零容忍”高压态势，</w:t>
      </w:r>
      <w:r>
        <w:rPr>
          <w:rFonts w:hint="default" w:ascii="Times New Roman" w:hAnsi="Times New Roman" w:eastAsia="仿宋_GB2312" w:cs="Times New Roman"/>
          <w:b w:val="0"/>
          <w:bCs w:val="0"/>
          <w:color w:val="auto"/>
          <w:sz w:val="32"/>
          <w:szCs w:val="32"/>
          <w:highlight w:val="none"/>
          <w:lang w:eastAsia="zh-CN"/>
        </w:rPr>
        <w:t>严格落实</w:t>
      </w:r>
      <w:r>
        <w:rPr>
          <w:rFonts w:hint="eastAsia" w:ascii="Times New Roman" w:hAnsi="Times New Roman" w:eastAsia="仿宋_GB2312" w:cs="Times New Roman"/>
          <w:b w:val="0"/>
          <w:bCs w:val="0"/>
          <w:color w:val="auto"/>
          <w:sz w:val="32"/>
          <w:szCs w:val="32"/>
          <w:highlight w:val="none"/>
          <w:lang w:eastAsia="zh-CN"/>
        </w:rPr>
        <w:t>违规</w:t>
      </w:r>
      <w:r>
        <w:rPr>
          <w:rFonts w:hint="default" w:ascii="Times New Roman" w:hAnsi="Times New Roman" w:eastAsia="仿宋_GB2312" w:cs="Times New Roman"/>
          <w:b w:val="0"/>
          <w:bCs w:val="0"/>
          <w:color w:val="auto"/>
          <w:sz w:val="32"/>
          <w:szCs w:val="32"/>
          <w:highlight w:val="none"/>
          <w:lang w:eastAsia="zh-CN"/>
        </w:rPr>
        <w:t>举债终身问责制和债务问题倒查机制，实施隐性债务问责闭环管理</w:t>
      </w:r>
      <w:r>
        <w:rPr>
          <w:rFonts w:hint="default" w:ascii="Times New Roman" w:hAnsi="Times New Roman" w:eastAsia="仿宋_GB2312" w:cs="Times New Roman"/>
          <w:b w:val="0"/>
          <w:bCs w:val="0"/>
          <w:color w:val="auto"/>
          <w:sz w:val="32"/>
          <w:szCs w:val="32"/>
          <w:highlight w:val="none"/>
        </w:rPr>
        <w:t>，</w:t>
      </w:r>
      <w:r>
        <w:rPr>
          <w:rFonts w:hint="eastAsia" w:ascii="Times New Roman" w:hAnsi="Times New Roman" w:eastAsia="仿宋_GB2312" w:cs="Times New Roman"/>
          <w:b w:val="0"/>
          <w:bCs w:val="0"/>
          <w:color w:val="auto"/>
          <w:sz w:val="32"/>
          <w:szCs w:val="32"/>
          <w:highlight w:val="none"/>
          <w:lang w:eastAsia="zh-CN"/>
        </w:rPr>
        <w:t>将不新增隐性债务作为铁的纪律，对违规举债严肃追责问责</w:t>
      </w:r>
      <w:r>
        <w:rPr>
          <w:rFonts w:hint="default" w:ascii="Times New Roman" w:hAnsi="Times New Roman" w:eastAsia="仿宋_GB2312" w:cs="Times New Roman"/>
          <w:b w:val="0"/>
          <w:bCs w:val="0"/>
          <w:color w:val="auto"/>
          <w:sz w:val="32"/>
          <w:szCs w:val="32"/>
          <w:highlight w:val="none"/>
        </w:rPr>
        <w:t>。</w:t>
      </w:r>
    </w:p>
    <w:p>
      <w:pPr>
        <w:keepNext w:val="0"/>
        <w:keepLines w:val="0"/>
        <w:pageBreakBefore w:val="0"/>
        <w:kinsoku/>
        <w:wordWrap/>
        <w:overflowPunct/>
        <w:topLinePunct w:val="0"/>
        <w:autoSpaceDE/>
        <w:autoSpaceDN/>
        <w:bidi w:val="0"/>
        <w:adjustRightInd/>
        <w:snapToGrid/>
        <w:spacing w:line="580" w:lineRule="exact"/>
        <w:ind w:right="770"/>
        <w:jc w:val="right"/>
        <w:textAlignment w:val="auto"/>
        <w:rPr>
          <w:rFonts w:hint="default" w:ascii="Times New Roman" w:hAnsi="Times New Roman" w:cs="Times New Roman"/>
          <w:color w:val="auto"/>
          <w:sz w:val="32"/>
          <w:szCs w:val="32"/>
          <w:highlight w:val="none"/>
        </w:rPr>
      </w:pPr>
    </w:p>
    <w:p>
      <w:pPr>
        <w:keepNext w:val="0"/>
        <w:keepLines w:val="0"/>
        <w:pageBreakBefore w:val="0"/>
        <w:kinsoku/>
        <w:wordWrap/>
        <w:overflowPunct/>
        <w:topLinePunct w:val="0"/>
        <w:autoSpaceDE/>
        <w:autoSpaceDN/>
        <w:bidi w:val="0"/>
        <w:adjustRightInd/>
        <w:snapToGrid/>
        <w:spacing w:line="580" w:lineRule="exact"/>
        <w:ind w:right="770"/>
        <w:jc w:val="right"/>
        <w:textAlignment w:val="auto"/>
        <w:rPr>
          <w:rFonts w:hint="default" w:ascii="Times New Roman" w:hAnsi="Times New Roman" w:cs="Times New Roman"/>
          <w:color w:val="auto"/>
          <w:sz w:val="32"/>
          <w:szCs w:val="32"/>
          <w:highlight w:val="none"/>
        </w:rPr>
      </w:pPr>
    </w:p>
    <w:p>
      <w:pPr>
        <w:keepNext w:val="0"/>
        <w:keepLines w:val="0"/>
        <w:pageBreakBefore w:val="0"/>
        <w:kinsoku/>
        <w:wordWrap/>
        <w:overflowPunct/>
        <w:topLinePunct w:val="0"/>
        <w:autoSpaceDE/>
        <w:autoSpaceDN/>
        <w:bidi w:val="0"/>
        <w:adjustRightInd/>
        <w:snapToGrid/>
        <w:spacing w:line="580" w:lineRule="exact"/>
        <w:ind w:right="1551" w:rightChars="517"/>
        <w:jc w:val="right"/>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四川省财政厅</w:t>
      </w:r>
    </w:p>
    <w:p>
      <w:pPr>
        <w:keepNext w:val="0"/>
        <w:keepLines w:val="0"/>
        <w:pageBreakBefore w:val="0"/>
        <w:kinsoku/>
        <w:wordWrap/>
        <w:overflowPunct/>
        <w:topLinePunct w:val="0"/>
        <w:autoSpaceDE/>
        <w:autoSpaceDN/>
        <w:bidi w:val="0"/>
        <w:adjustRightInd/>
        <w:snapToGrid/>
        <w:spacing w:line="580" w:lineRule="exact"/>
        <w:ind w:right="1245" w:rightChars="415"/>
        <w:jc w:val="right"/>
        <w:textAlignment w:val="auto"/>
        <w:rPr>
          <w:rFonts w:hint="default" w:ascii="Times New Roman" w:hAnsi="Times New Roman" w:cs="Times New Roman"/>
          <w:color w:val="auto"/>
          <w:sz w:val="32"/>
          <w:szCs w:val="32"/>
          <w:highlight w:val="none"/>
        </w:rPr>
      </w:pPr>
      <w:r>
        <w:rPr>
          <w:rFonts w:hint="eastAsia" w:cs="Times New Roman"/>
          <w:color w:val="auto"/>
          <w:sz w:val="32"/>
          <w:szCs w:val="32"/>
          <w:highlight w:val="none"/>
          <w:lang w:eastAsia="zh-CN"/>
        </w:rPr>
        <w:t>202</w:t>
      </w:r>
      <w:r>
        <w:rPr>
          <w:rFonts w:hint="default" w:cs="Times New Roman"/>
          <w:color w:val="auto"/>
          <w:sz w:val="32"/>
          <w:szCs w:val="32"/>
          <w:highlight w:val="none"/>
          <w:lang w:val="en" w:eastAsia="zh-CN"/>
        </w:rPr>
        <w:t>6</w:t>
      </w:r>
      <w:r>
        <w:rPr>
          <w:rFonts w:hint="eastAsia" w:cs="Times New Roman"/>
          <w:color w:val="auto"/>
          <w:sz w:val="32"/>
          <w:szCs w:val="32"/>
          <w:highlight w:val="none"/>
          <w:lang w:eastAsia="zh-CN"/>
        </w:rPr>
        <w:t>年</w:t>
      </w:r>
      <w:r>
        <w:rPr>
          <w:rFonts w:hint="eastAsia" w:cs="Times New Roman"/>
          <w:color w:val="auto"/>
          <w:sz w:val="32"/>
          <w:szCs w:val="32"/>
          <w:highlight w:val="none"/>
          <w:lang w:val="en-US" w:eastAsia="zh-CN"/>
        </w:rPr>
        <w:t>10</w:t>
      </w:r>
      <w:r>
        <w:rPr>
          <w:rFonts w:hint="default" w:ascii="Times New Roman" w:hAnsi="Times New Roman" w:cs="Times New Roman"/>
          <w:color w:val="auto"/>
          <w:sz w:val="32"/>
          <w:szCs w:val="32"/>
          <w:highlight w:val="none"/>
        </w:rPr>
        <w:t>月</w:t>
      </w:r>
      <w:r>
        <w:rPr>
          <w:rFonts w:hint="eastAsia" w:cs="Times New Roman"/>
          <w:color w:val="auto"/>
          <w:sz w:val="32"/>
          <w:szCs w:val="32"/>
          <w:highlight w:val="none"/>
          <w:lang w:val="en-US" w:eastAsia="zh-CN"/>
        </w:rPr>
        <w:t>19</w:t>
      </w:r>
      <w:r>
        <w:rPr>
          <w:rFonts w:hint="default" w:ascii="Times New Roman" w:hAnsi="Times New Roman" w:cs="Times New Roman"/>
          <w:color w:val="auto"/>
          <w:sz w:val="32"/>
          <w:szCs w:val="32"/>
          <w:highlight w:val="none"/>
        </w:rPr>
        <w:t>日</w:t>
      </w:r>
    </w:p>
    <w:p>
      <w:pPr>
        <w:keepNext w:val="0"/>
        <w:keepLines w:val="0"/>
        <w:pageBreakBefore w:val="0"/>
        <w:kinsoku/>
        <w:wordWrap/>
        <w:overflowPunct/>
        <w:topLinePunct w:val="0"/>
        <w:autoSpaceDE/>
        <w:autoSpaceDN/>
        <w:bidi w:val="0"/>
        <w:adjustRightInd/>
        <w:snapToGrid/>
        <w:spacing w:line="580" w:lineRule="exact"/>
        <w:ind w:right="1245" w:rightChars="415"/>
        <w:jc w:val="right"/>
        <w:textAlignment w:val="auto"/>
        <w:rPr>
          <w:rFonts w:hint="default" w:ascii="Times New Roman" w:hAnsi="Times New Roman" w:cs="Times New Roman"/>
          <w:color w:val="auto"/>
          <w:sz w:val="32"/>
          <w:szCs w:val="32"/>
          <w:highlight w:val="none"/>
        </w:rPr>
      </w:pPr>
    </w:p>
    <w:sectPr>
      <w:footerReference r:id="rId3" w:type="default"/>
      <w:footerReference r:id="rId4" w:type="even"/>
      <w:pgSz w:w="11906" w:h="16838"/>
      <w:pgMar w:top="1757" w:right="1474" w:bottom="1871" w:left="1588" w:header="851" w:footer="992" w:gutter="0"/>
      <w:pgNumType w:fmt="numberInDash"/>
      <w:cols w:space="0" w:num="1"/>
      <w:rtlGutter w:val="0"/>
      <w:docGrid w:type="lines" w:linePitch="40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楷体简体">
    <w:panose1 w:val="02010601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oto Sans CJK JP Bold">
    <w:panose1 w:val="020B08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5429278"/>
      <w:docPartObj>
        <w:docPartGallery w:val="autotext"/>
      </w:docPartObj>
    </w:sdtPr>
    <w:sdtEndPr>
      <w:rPr>
        <w:rFonts w:asciiTheme="minorEastAsia" w:hAnsiTheme="minorEastAsia"/>
        <w:sz w:val="28"/>
        <w:szCs w:val="28"/>
      </w:rPr>
    </w:sdtEndPr>
    <w:sdtContent>
      <w:p>
        <w:pPr>
          <w:pStyle w:val="6"/>
          <w:jc w:val="right"/>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 PAGE   \* MERGEFORMAT </w:instrText>
        </w:r>
        <w:r>
          <w:rPr>
            <w:rFonts w:asciiTheme="minorEastAsia" w:hAnsiTheme="minorEastAsia"/>
            <w:sz w:val="28"/>
            <w:szCs w:val="28"/>
          </w:rPr>
          <w:fldChar w:fldCharType="separate"/>
        </w:r>
        <w:r>
          <w:rPr>
            <w:rFonts w:asciiTheme="minorEastAsia" w:hAnsiTheme="minorEastAsia"/>
            <w:sz w:val="28"/>
            <w:szCs w:val="28"/>
            <w:lang w:val="zh-CN"/>
          </w:rPr>
          <w:t>-</w:t>
        </w:r>
        <w:r>
          <w:rPr>
            <w:rFonts w:asciiTheme="minorEastAsia" w:hAnsiTheme="minorEastAsia"/>
            <w:sz w:val="28"/>
            <w:szCs w:val="28"/>
          </w:rPr>
          <w:t xml:space="preserve"> 9 -</w:t>
        </w:r>
        <w:r>
          <w:rPr>
            <w:rFonts w:asciiTheme="minorEastAsia" w:hAnsiTheme="minorEastAsia"/>
            <w:sz w:val="28"/>
            <w:szCs w:val="28"/>
          </w:rPr>
          <w:fldChar w:fldCharType="end"/>
        </w:r>
      </w:p>
    </w:sdtContent>
  </w:sdt>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5429279"/>
      <w:docPartObj>
        <w:docPartGallery w:val="autotext"/>
      </w:docPartObj>
    </w:sdtPr>
    <w:sdtEndPr>
      <w:rPr>
        <w:rFonts w:asciiTheme="minorEastAsia" w:hAnsiTheme="minorEastAsia"/>
        <w:sz w:val="28"/>
        <w:szCs w:val="28"/>
      </w:rPr>
    </w:sdtEndPr>
    <w:sdtContent>
      <w:p>
        <w:pPr>
          <w:pStyle w:val="6"/>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 PAGE   \* MERGEFORMAT </w:instrText>
        </w:r>
        <w:r>
          <w:rPr>
            <w:rFonts w:asciiTheme="minorEastAsia" w:hAnsiTheme="minorEastAsia"/>
            <w:sz w:val="28"/>
            <w:szCs w:val="28"/>
          </w:rPr>
          <w:fldChar w:fldCharType="separate"/>
        </w:r>
        <w:r>
          <w:rPr>
            <w:rFonts w:asciiTheme="minorEastAsia" w:hAnsiTheme="minorEastAsia"/>
            <w:sz w:val="28"/>
            <w:szCs w:val="28"/>
            <w:lang w:val="zh-CN"/>
          </w:rPr>
          <w:t>-</w:t>
        </w:r>
        <w:r>
          <w:rPr>
            <w:rFonts w:asciiTheme="minorEastAsia" w:hAnsiTheme="minorEastAsia"/>
            <w:sz w:val="28"/>
            <w:szCs w:val="28"/>
          </w:rPr>
          <w:t xml:space="preserve"> 8 -</w:t>
        </w:r>
        <w:r>
          <w:rPr>
            <w:rFonts w:asciiTheme="minorEastAsia" w:hAnsiTheme="minorEastAsia"/>
            <w:sz w:val="28"/>
            <w:szCs w:val="28"/>
          </w:rPr>
          <w:fldChar w:fldCharType="end"/>
        </w:r>
      </w:p>
    </w:sdtContent>
  </w:sdt>
  <w:p>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430BE2"/>
    <w:multiLevelType w:val="singleLevel"/>
    <w:tmpl w:val="EE430BE2"/>
    <w:lvl w:ilvl="0" w:tentative="0">
      <w:start w:val="4"/>
      <w:numFmt w:val="chineseCounting"/>
      <w:suff w:val="nothing"/>
      <w:lvlText w:val="%1、"/>
      <w:lvlJc w:val="left"/>
      <w:pPr>
        <w:ind w:left="640" w:leftChars="0" w:firstLine="0" w:firstLineChars="0"/>
      </w:pPr>
      <w:rPr>
        <w:rFonts w:hint="eastAsia"/>
      </w:rPr>
    </w:lvl>
  </w:abstractNum>
  <w:abstractNum w:abstractNumId="1">
    <w:nsid w:val="F7C65B72"/>
    <w:multiLevelType w:val="singleLevel"/>
    <w:tmpl w:val="F7C65B72"/>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false"/>
  <w:bordersDoNotSurroundFooter w:val="false"/>
  <w:documentProtection w:enforcement="0"/>
  <w:defaultTabStop w:val="420"/>
  <w:evenAndOddHeaders w:val="true"/>
  <w:drawingGridHorizontalSpacing w:val="150"/>
  <w:drawingGridVerticalSpacing w:val="204"/>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wYzE3YWExNzRhZWE0NjUzYzc4ZjdjNzA2MWRkMjcifQ=="/>
  </w:docVars>
  <w:rsids>
    <w:rsidRoot w:val="00D75D48"/>
    <w:rsid w:val="00003E0D"/>
    <w:rsid w:val="0000494F"/>
    <w:rsid w:val="00006366"/>
    <w:rsid w:val="00011EFF"/>
    <w:rsid w:val="00013565"/>
    <w:rsid w:val="00014F5C"/>
    <w:rsid w:val="00042444"/>
    <w:rsid w:val="000434E1"/>
    <w:rsid w:val="0004465C"/>
    <w:rsid w:val="00050F45"/>
    <w:rsid w:val="0005104D"/>
    <w:rsid w:val="00051067"/>
    <w:rsid w:val="00064B6B"/>
    <w:rsid w:val="00072ECB"/>
    <w:rsid w:val="00076E3A"/>
    <w:rsid w:val="00086525"/>
    <w:rsid w:val="000B5961"/>
    <w:rsid w:val="000B5B7E"/>
    <w:rsid w:val="000B7854"/>
    <w:rsid w:val="000C057D"/>
    <w:rsid w:val="000C06BC"/>
    <w:rsid w:val="000C478F"/>
    <w:rsid w:val="000C61D3"/>
    <w:rsid w:val="000D26F6"/>
    <w:rsid w:val="000D2B72"/>
    <w:rsid w:val="000D6165"/>
    <w:rsid w:val="000E3A19"/>
    <w:rsid w:val="00100DFA"/>
    <w:rsid w:val="00103061"/>
    <w:rsid w:val="00111B35"/>
    <w:rsid w:val="00112550"/>
    <w:rsid w:val="00112C8E"/>
    <w:rsid w:val="00114227"/>
    <w:rsid w:val="00114AAC"/>
    <w:rsid w:val="0011601A"/>
    <w:rsid w:val="00122059"/>
    <w:rsid w:val="001304D1"/>
    <w:rsid w:val="001308F0"/>
    <w:rsid w:val="001313BE"/>
    <w:rsid w:val="0013220C"/>
    <w:rsid w:val="0013365E"/>
    <w:rsid w:val="00145A97"/>
    <w:rsid w:val="0015095B"/>
    <w:rsid w:val="00150AC6"/>
    <w:rsid w:val="001516FD"/>
    <w:rsid w:val="00152AC1"/>
    <w:rsid w:val="001604AA"/>
    <w:rsid w:val="00162AFA"/>
    <w:rsid w:val="00163296"/>
    <w:rsid w:val="00167196"/>
    <w:rsid w:val="00172DB6"/>
    <w:rsid w:val="00174E86"/>
    <w:rsid w:val="001771B7"/>
    <w:rsid w:val="001845A6"/>
    <w:rsid w:val="00191893"/>
    <w:rsid w:val="001967F2"/>
    <w:rsid w:val="001A1B79"/>
    <w:rsid w:val="001B15E9"/>
    <w:rsid w:val="001B2A8F"/>
    <w:rsid w:val="001B33BC"/>
    <w:rsid w:val="001C5458"/>
    <w:rsid w:val="001D0426"/>
    <w:rsid w:val="001E1271"/>
    <w:rsid w:val="001F2BD7"/>
    <w:rsid w:val="001F65CB"/>
    <w:rsid w:val="00201608"/>
    <w:rsid w:val="0021141B"/>
    <w:rsid w:val="002128A8"/>
    <w:rsid w:val="00214C8D"/>
    <w:rsid w:val="00215BF8"/>
    <w:rsid w:val="00224B21"/>
    <w:rsid w:val="00227533"/>
    <w:rsid w:val="00232C05"/>
    <w:rsid w:val="002357DE"/>
    <w:rsid w:val="0023682D"/>
    <w:rsid w:val="00240592"/>
    <w:rsid w:val="00240B03"/>
    <w:rsid w:val="0024109D"/>
    <w:rsid w:val="0025728B"/>
    <w:rsid w:val="002622FC"/>
    <w:rsid w:val="00266CD1"/>
    <w:rsid w:val="00267A87"/>
    <w:rsid w:val="00274608"/>
    <w:rsid w:val="00286EF0"/>
    <w:rsid w:val="00291577"/>
    <w:rsid w:val="002973D9"/>
    <w:rsid w:val="002979A1"/>
    <w:rsid w:val="002A1BF4"/>
    <w:rsid w:val="002A2309"/>
    <w:rsid w:val="002A3BC7"/>
    <w:rsid w:val="002A5445"/>
    <w:rsid w:val="002A5D72"/>
    <w:rsid w:val="002A729F"/>
    <w:rsid w:val="002B14F3"/>
    <w:rsid w:val="002B7582"/>
    <w:rsid w:val="002B7F17"/>
    <w:rsid w:val="002C08AD"/>
    <w:rsid w:val="002C0B80"/>
    <w:rsid w:val="002C2F9A"/>
    <w:rsid w:val="002D09F3"/>
    <w:rsid w:val="002D34DE"/>
    <w:rsid w:val="002D3E97"/>
    <w:rsid w:val="002D7B82"/>
    <w:rsid w:val="002E3BF3"/>
    <w:rsid w:val="002E3CAF"/>
    <w:rsid w:val="002E7F88"/>
    <w:rsid w:val="002F02C0"/>
    <w:rsid w:val="002F51FB"/>
    <w:rsid w:val="002F6DDA"/>
    <w:rsid w:val="00300299"/>
    <w:rsid w:val="003142FA"/>
    <w:rsid w:val="003201E1"/>
    <w:rsid w:val="00323F8A"/>
    <w:rsid w:val="00330ADC"/>
    <w:rsid w:val="0033296F"/>
    <w:rsid w:val="00334122"/>
    <w:rsid w:val="00334C10"/>
    <w:rsid w:val="00334EBB"/>
    <w:rsid w:val="00337972"/>
    <w:rsid w:val="00340EAF"/>
    <w:rsid w:val="00345D80"/>
    <w:rsid w:val="00345E5A"/>
    <w:rsid w:val="00347B91"/>
    <w:rsid w:val="0035563B"/>
    <w:rsid w:val="0037122D"/>
    <w:rsid w:val="00372C4C"/>
    <w:rsid w:val="00377FC2"/>
    <w:rsid w:val="00381216"/>
    <w:rsid w:val="003823B9"/>
    <w:rsid w:val="0038792C"/>
    <w:rsid w:val="00387BB4"/>
    <w:rsid w:val="003949A1"/>
    <w:rsid w:val="003968AB"/>
    <w:rsid w:val="003A2602"/>
    <w:rsid w:val="003A336F"/>
    <w:rsid w:val="003A376D"/>
    <w:rsid w:val="003A7080"/>
    <w:rsid w:val="003C1A8A"/>
    <w:rsid w:val="003C509D"/>
    <w:rsid w:val="003D16F1"/>
    <w:rsid w:val="003D2881"/>
    <w:rsid w:val="003D5824"/>
    <w:rsid w:val="003E5B33"/>
    <w:rsid w:val="003E7CBF"/>
    <w:rsid w:val="003F7949"/>
    <w:rsid w:val="004025DD"/>
    <w:rsid w:val="00405B5D"/>
    <w:rsid w:val="004244C3"/>
    <w:rsid w:val="00427BCA"/>
    <w:rsid w:val="00430B0B"/>
    <w:rsid w:val="00435BA4"/>
    <w:rsid w:val="0045340E"/>
    <w:rsid w:val="00464202"/>
    <w:rsid w:val="004665B7"/>
    <w:rsid w:val="00482921"/>
    <w:rsid w:val="00484B65"/>
    <w:rsid w:val="00493BA0"/>
    <w:rsid w:val="0049492E"/>
    <w:rsid w:val="00495E42"/>
    <w:rsid w:val="004C0034"/>
    <w:rsid w:val="004C4227"/>
    <w:rsid w:val="004C4C68"/>
    <w:rsid w:val="004C52D6"/>
    <w:rsid w:val="004C5559"/>
    <w:rsid w:val="004C68A8"/>
    <w:rsid w:val="004C6AB9"/>
    <w:rsid w:val="004D711D"/>
    <w:rsid w:val="004E4A3D"/>
    <w:rsid w:val="004E758F"/>
    <w:rsid w:val="004F3907"/>
    <w:rsid w:val="004F4EDC"/>
    <w:rsid w:val="005066EB"/>
    <w:rsid w:val="0051060A"/>
    <w:rsid w:val="00514186"/>
    <w:rsid w:val="005164E3"/>
    <w:rsid w:val="005266A3"/>
    <w:rsid w:val="00530BCF"/>
    <w:rsid w:val="0054212C"/>
    <w:rsid w:val="00547F50"/>
    <w:rsid w:val="00550728"/>
    <w:rsid w:val="00551339"/>
    <w:rsid w:val="00553278"/>
    <w:rsid w:val="005564ED"/>
    <w:rsid w:val="00560934"/>
    <w:rsid w:val="00562DBE"/>
    <w:rsid w:val="0057119A"/>
    <w:rsid w:val="00575715"/>
    <w:rsid w:val="00582986"/>
    <w:rsid w:val="00585D39"/>
    <w:rsid w:val="005939A3"/>
    <w:rsid w:val="00596800"/>
    <w:rsid w:val="005B7EF1"/>
    <w:rsid w:val="005C3F98"/>
    <w:rsid w:val="005C4897"/>
    <w:rsid w:val="005C5FE3"/>
    <w:rsid w:val="005D7486"/>
    <w:rsid w:val="005D77D3"/>
    <w:rsid w:val="005E428F"/>
    <w:rsid w:val="005F3BAA"/>
    <w:rsid w:val="00600229"/>
    <w:rsid w:val="00600D0F"/>
    <w:rsid w:val="00602DC6"/>
    <w:rsid w:val="00604732"/>
    <w:rsid w:val="00610FF1"/>
    <w:rsid w:val="0061500F"/>
    <w:rsid w:val="00626C40"/>
    <w:rsid w:val="00633023"/>
    <w:rsid w:val="00640201"/>
    <w:rsid w:val="00642D24"/>
    <w:rsid w:val="0064355D"/>
    <w:rsid w:val="00650C3F"/>
    <w:rsid w:val="00665F72"/>
    <w:rsid w:val="006740B9"/>
    <w:rsid w:val="00676073"/>
    <w:rsid w:val="00680AB5"/>
    <w:rsid w:val="0068465F"/>
    <w:rsid w:val="0068663E"/>
    <w:rsid w:val="00692FD2"/>
    <w:rsid w:val="00694C5B"/>
    <w:rsid w:val="00695408"/>
    <w:rsid w:val="006B060D"/>
    <w:rsid w:val="006B0DF3"/>
    <w:rsid w:val="006B2B7B"/>
    <w:rsid w:val="006C2963"/>
    <w:rsid w:val="006C5601"/>
    <w:rsid w:val="006C6E5C"/>
    <w:rsid w:val="006E36A4"/>
    <w:rsid w:val="006F1D06"/>
    <w:rsid w:val="006F3245"/>
    <w:rsid w:val="006F61C3"/>
    <w:rsid w:val="006F741D"/>
    <w:rsid w:val="00720087"/>
    <w:rsid w:val="0073154D"/>
    <w:rsid w:val="00735355"/>
    <w:rsid w:val="00736241"/>
    <w:rsid w:val="007439DF"/>
    <w:rsid w:val="00744D83"/>
    <w:rsid w:val="0074763B"/>
    <w:rsid w:val="00751DC4"/>
    <w:rsid w:val="00752172"/>
    <w:rsid w:val="0075416B"/>
    <w:rsid w:val="00755C05"/>
    <w:rsid w:val="00761AB3"/>
    <w:rsid w:val="0076444B"/>
    <w:rsid w:val="007649E4"/>
    <w:rsid w:val="00780DBC"/>
    <w:rsid w:val="00782D0A"/>
    <w:rsid w:val="0078416A"/>
    <w:rsid w:val="007923F9"/>
    <w:rsid w:val="007932C3"/>
    <w:rsid w:val="007A058B"/>
    <w:rsid w:val="007A06F5"/>
    <w:rsid w:val="007A14E8"/>
    <w:rsid w:val="007B35D3"/>
    <w:rsid w:val="007B6043"/>
    <w:rsid w:val="007C317A"/>
    <w:rsid w:val="007C69F9"/>
    <w:rsid w:val="007E1599"/>
    <w:rsid w:val="007E6026"/>
    <w:rsid w:val="007F1013"/>
    <w:rsid w:val="007F4D11"/>
    <w:rsid w:val="00805FEC"/>
    <w:rsid w:val="00823002"/>
    <w:rsid w:val="008277DF"/>
    <w:rsid w:val="008329C9"/>
    <w:rsid w:val="00842479"/>
    <w:rsid w:val="0085799F"/>
    <w:rsid w:val="00860197"/>
    <w:rsid w:val="008604DB"/>
    <w:rsid w:val="00875865"/>
    <w:rsid w:val="00882426"/>
    <w:rsid w:val="008A3224"/>
    <w:rsid w:val="008A34A3"/>
    <w:rsid w:val="008B05D3"/>
    <w:rsid w:val="008B315F"/>
    <w:rsid w:val="008C35ED"/>
    <w:rsid w:val="008C4FD4"/>
    <w:rsid w:val="008C6AE1"/>
    <w:rsid w:val="008D25AF"/>
    <w:rsid w:val="008D45E6"/>
    <w:rsid w:val="008E05EB"/>
    <w:rsid w:val="008E1B60"/>
    <w:rsid w:val="008E7510"/>
    <w:rsid w:val="008F5C66"/>
    <w:rsid w:val="008F6CA8"/>
    <w:rsid w:val="008F72BE"/>
    <w:rsid w:val="00903207"/>
    <w:rsid w:val="0090767E"/>
    <w:rsid w:val="009130BC"/>
    <w:rsid w:val="00914DD3"/>
    <w:rsid w:val="009206E8"/>
    <w:rsid w:val="0093170E"/>
    <w:rsid w:val="0093596A"/>
    <w:rsid w:val="0093659F"/>
    <w:rsid w:val="00937A19"/>
    <w:rsid w:val="0094120E"/>
    <w:rsid w:val="00941341"/>
    <w:rsid w:val="009453ED"/>
    <w:rsid w:val="00945FE3"/>
    <w:rsid w:val="00946E22"/>
    <w:rsid w:val="009476E0"/>
    <w:rsid w:val="00950A16"/>
    <w:rsid w:val="009522E0"/>
    <w:rsid w:val="0096257C"/>
    <w:rsid w:val="00962A38"/>
    <w:rsid w:val="009804C9"/>
    <w:rsid w:val="00983021"/>
    <w:rsid w:val="0098705B"/>
    <w:rsid w:val="009A0FE4"/>
    <w:rsid w:val="009A25EC"/>
    <w:rsid w:val="009A4DDB"/>
    <w:rsid w:val="009C34ED"/>
    <w:rsid w:val="009C3C74"/>
    <w:rsid w:val="009F1EEC"/>
    <w:rsid w:val="009F34D2"/>
    <w:rsid w:val="00A011C8"/>
    <w:rsid w:val="00A02AE3"/>
    <w:rsid w:val="00A07ACF"/>
    <w:rsid w:val="00A324CA"/>
    <w:rsid w:val="00A33145"/>
    <w:rsid w:val="00A3391E"/>
    <w:rsid w:val="00A35BC8"/>
    <w:rsid w:val="00A35D46"/>
    <w:rsid w:val="00A43D8B"/>
    <w:rsid w:val="00A47A81"/>
    <w:rsid w:val="00A561E2"/>
    <w:rsid w:val="00A56E82"/>
    <w:rsid w:val="00A719B0"/>
    <w:rsid w:val="00A7244E"/>
    <w:rsid w:val="00A82813"/>
    <w:rsid w:val="00A830EF"/>
    <w:rsid w:val="00AA43CF"/>
    <w:rsid w:val="00AA4A2D"/>
    <w:rsid w:val="00AB2401"/>
    <w:rsid w:val="00AB6350"/>
    <w:rsid w:val="00AC3112"/>
    <w:rsid w:val="00AC3A34"/>
    <w:rsid w:val="00AC419C"/>
    <w:rsid w:val="00AC624B"/>
    <w:rsid w:val="00AD05D7"/>
    <w:rsid w:val="00AD61CC"/>
    <w:rsid w:val="00AE6F6C"/>
    <w:rsid w:val="00AE714A"/>
    <w:rsid w:val="00AF40BE"/>
    <w:rsid w:val="00AF5CDA"/>
    <w:rsid w:val="00B06264"/>
    <w:rsid w:val="00B102AA"/>
    <w:rsid w:val="00B10D79"/>
    <w:rsid w:val="00B2135E"/>
    <w:rsid w:val="00B226F7"/>
    <w:rsid w:val="00B327F3"/>
    <w:rsid w:val="00B4000D"/>
    <w:rsid w:val="00B41E90"/>
    <w:rsid w:val="00B44C31"/>
    <w:rsid w:val="00B47F9D"/>
    <w:rsid w:val="00B53FB4"/>
    <w:rsid w:val="00B56F46"/>
    <w:rsid w:val="00B72F85"/>
    <w:rsid w:val="00B82AF9"/>
    <w:rsid w:val="00B87910"/>
    <w:rsid w:val="00B92CEE"/>
    <w:rsid w:val="00B93A57"/>
    <w:rsid w:val="00B95310"/>
    <w:rsid w:val="00BA167C"/>
    <w:rsid w:val="00BA6B94"/>
    <w:rsid w:val="00BA6E45"/>
    <w:rsid w:val="00BB2163"/>
    <w:rsid w:val="00BC2577"/>
    <w:rsid w:val="00BC3464"/>
    <w:rsid w:val="00BC51B9"/>
    <w:rsid w:val="00BD245A"/>
    <w:rsid w:val="00BE4337"/>
    <w:rsid w:val="00BE68E5"/>
    <w:rsid w:val="00BF4D15"/>
    <w:rsid w:val="00BF71C9"/>
    <w:rsid w:val="00C038DF"/>
    <w:rsid w:val="00C06861"/>
    <w:rsid w:val="00C20263"/>
    <w:rsid w:val="00C40314"/>
    <w:rsid w:val="00C444C7"/>
    <w:rsid w:val="00C47AA5"/>
    <w:rsid w:val="00C50294"/>
    <w:rsid w:val="00C529E7"/>
    <w:rsid w:val="00C6156D"/>
    <w:rsid w:val="00C62064"/>
    <w:rsid w:val="00C7589A"/>
    <w:rsid w:val="00C84294"/>
    <w:rsid w:val="00C852B6"/>
    <w:rsid w:val="00C9214A"/>
    <w:rsid w:val="00CA3232"/>
    <w:rsid w:val="00CA6E89"/>
    <w:rsid w:val="00CA77C9"/>
    <w:rsid w:val="00CB489A"/>
    <w:rsid w:val="00CC0E88"/>
    <w:rsid w:val="00CC2E85"/>
    <w:rsid w:val="00CC799C"/>
    <w:rsid w:val="00CF31CD"/>
    <w:rsid w:val="00CF3D74"/>
    <w:rsid w:val="00CF5696"/>
    <w:rsid w:val="00D00810"/>
    <w:rsid w:val="00D03452"/>
    <w:rsid w:val="00D104EB"/>
    <w:rsid w:val="00D11CB7"/>
    <w:rsid w:val="00D1781A"/>
    <w:rsid w:val="00D32A6E"/>
    <w:rsid w:val="00D504E8"/>
    <w:rsid w:val="00D5233B"/>
    <w:rsid w:val="00D7550D"/>
    <w:rsid w:val="00D7555B"/>
    <w:rsid w:val="00D75D48"/>
    <w:rsid w:val="00D77978"/>
    <w:rsid w:val="00D85504"/>
    <w:rsid w:val="00D8741B"/>
    <w:rsid w:val="00DB5AC3"/>
    <w:rsid w:val="00DC17D9"/>
    <w:rsid w:val="00DD1D62"/>
    <w:rsid w:val="00DD26A2"/>
    <w:rsid w:val="00DD3E1B"/>
    <w:rsid w:val="00DE6433"/>
    <w:rsid w:val="00E10F67"/>
    <w:rsid w:val="00E1148A"/>
    <w:rsid w:val="00E17D51"/>
    <w:rsid w:val="00E22020"/>
    <w:rsid w:val="00E235BC"/>
    <w:rsid w:val="00E32864"/>
    <w:rsid w:val="00E41D77"/>
    <w:rsid w:val="00E42997"/>
    <w:rsid w:val="00E4663D"/>
    <w:rsid w:val="00E47E28"/>
    <w:rsid w:val="00E5234B"/>
    <w:rsid w:val="00E56A3D"/>
    <w:rsid w:val="00E60E8A"/>
    <w:rsid w:val="00E71238"/>
    <w:rsid w:val="00E76861"/>
    <w:rsid w:val="00E772A1"/>
    <w:rsid w:val="00E772BF"/>
    <w:rsid w:val="00E90656"/>
    <w:rsid w:val="00E936E4"/>
    <w:rsid w:val="00EA26F8"/>
    <w:rsid w:val="00EA2AAD"/>
    <w:rsid w:val="00EA40C1"/>
    <w:rsid w:val="00EB5097"/>
    <w:rsid w:val="00EB5454"/>
    <w:rsid w:val="00ED1508"/>
    <w:rsid w:val="00ED6FE6"/>
    <w:rsid w:val="00EE6008"/>
    <w:rsid w:val="00EF1C60"/>
    <w:rsid w:val="00EF1CC2"/>
    <w:rsid w:val="00EF31C6"/>
    <w:rsid w:val="00EF3840"/>
    <w:rsid w:val="00F00E77"/>
    <w:rsid w:val="00F04C63"/>
    <w:rsid w:val="00F27D3E"/>
    <w:rsid w:val="00F42F48"/>
    <w:rsid w:val="00F462D4"/>
    <w:rsid w:val="00F471C3"/>
    <w:rsid w:val="00F51C62"/>
    <w:rsid w:val="00F5604D"/>
    <w:rsid w:val="00F608E6"/>
    <w:rsid w:val="00F63BBE"/>
    <w:rsid w:val="00F75EDA"/>
    <w:rsid w:val="00F77D70"/>
    <w:rsid w:val="00F83D49"/>
    <w:rsid w:val="00F9013C"/>
    <w:rsid w:val="00F95D94"/>
    <w:rsid w:val="00FB39F4"/>
    <w:rsid w:val="00FC695D"/>
    <w:rsid w:val="00FD07FC"/>
    <w:rsid w:val="00FD2A72"/>
    <w:rsid w:val="00FD3028"/>
    <w:rsid w:val="00FE0BEE"/>
    <w:rsid w:val="00FE2422"/>
    <w:rsid w:val="00FE5331"/>
    <w:rsid w:val="00FF1B46"/>
    <w:rsid w:val="00FF53BF"/>
    <w:rsid w:val="00FF57F6"/>
    <w:rsid w:val="00FF6F1F"/>
    <w:rsid w:val="07E50E92"/>
    <w:rsid w:val="0A18711E"/>
    <w:rsid w:val="0A365806"/>
    <w:rsid w:val="0AC319AC"/>
    <w:rsid w:val="0CC872A8"/>
    <w:rsid w:val="0F5E2B9C"/>
    <w:rsid w:val="0FCAD5FD"/>
    <w:rsid w:val="12EB54C2"/>
    <w:rsid w:val="15EFB84A"/>
    <w:rsid w:val="16974C50"/>
    <w:rsid w:val="16BFDA76"/>
    <w:rsid w:val="177D3A52"/>
    <w:rsid w:val="17B6C2A3"/>
    <w:rsid w:val="17CE2129"/>
    <w:rsid w:val="17FFA77D"/>
    <w:rsid w:val="1B672BB3"/>
    <w:rsid w:val="1B67B585"/>
    <w:rsid w:val="1B7FC8E2"/>
    <w:rsid w:val="1BF15E06"/>
    <w:rsid w:val="1BFA4442"/>
    <w:rsid w:val="1BFFC1B4"/>
    <w:rsid w:val="1D3C0843"/>
    <w:rsid w:val="1E584D33"/>
    <w:rsid w:val="1EF3C8EF"/>
    <w:rsid w:val="1F2B8970"/>
    <w:rsid w:val="1F7F37F3"/>
    <w:rsid w:val="1FB95731"/>
    <w:rsid w:val="1FEF0EED"/>
    <w:rsid w:val="1FF86D77"/>
    <w:rsid w:val="273A1534"/>
    <w:rsid w:val="27EF5ADE"/>
    <w:rsid w:val="27FB4DFE"/>
    <w:rsid w:val="292BBD26"/>
    <w:rsid w:val="29447E57"/>
    <w:rsid w:val="2B5D29AE"/>
    <w:rsid w:val="2C335417"/>
    <w:rsid w:val="2D2F22EB"/>
    <w:rsid w:val="2DBF1862"/>
    <w:rsid w:val="2E7BB22E"/>
    <w:rsid w:val="2ED5C25D"/>
    <w:rsid w:val="2F7949F8"/>
    <w:rsid w:val="2FFB7B0E"/>
    <w:rsid w:val="33BD96C9"/>
    <w:rsid w:val="3478FD3B"/>
    <w:rsid w:val="35FD6B84"/>
    <w:rsid w:val="35FF6C41"/>
    <w:rsid w:val="35FFA103"/>
    <w:rsid w:val="365FE963"/>
    <w:rsid w:val="37D270A9"/>
    <w:rsid w:val="37F7809A"/>
    <w:rsid w:val="399565E0"/>
    <w:rsid w:val="3ADDA097"/>
    <w:rsid w:val="3B7E7D56"/>
    <w:rsid w:val="3BBE0F9A"/>
    <w:rsid w:val="3BCF7730"/>
    <w:rsid w:val="3BF725E0"/>
    <w:rsid w:val="3BFBF273"/>
    <w:rsid w:val="3BFD26E4"/>
    <w:rsid w:val="3BFF0771"/>
    <w:rsid w:val="3CFF72C5"/>
    <w:rsid w:val="3D6EE5C6"/>
    <w:rsid w:val="3D9DD624"/>
    <w:rsid w:val="3DAB5EBA"/>
    <w:rsid w:val="3DEFA9F2"/>
    <w:rsid w:val="3DF3C86E"/>
    <w:rsid w:val="3E7B43AC"/>
    <w:rsid w:val="3E8D37BC"/>
    <w:rsid w:val="3ECAC84C"/>
    <w:rsid w:val="3EFB41F2"/>
    <w:rsid w:val="3F5F4240"/>
    <w:rsid w:val="3F7BEE77"/>
    <w:rsid w:val="3FB668E4"/>
    <w:rsid w:val="3FBFF260"/>
    <w:rsid w:val="3FD92A3E"/>
    <w:rsid w:val="3FEF23FA"/>
    <w:rsid w:val="3FF0DCC8"/>
    <w:rsid w:val="3FF57F37"/>
    <w:rsid w:val="3FF7137C"/>
    <w:rsid w:val="3FF71C72"/>
    <w:rsid w:val="3FFB5F92"/>
    <w:rsid w:val="3FFF50AD"/>
    <w:rsid w:val="408E73B5"/>
    <w:rsid w:val="4305631D"/>
    <w:rsid w:val="45F8CE6B"/>
    <w:rsid w:val="47BF50EF"/>
    <w:rsid w:val="47DFF301"/>
    <w:rsid w:val="48BFAD72"/>
    <w:rsid w:val="4B2A2E6E"/>
    <w:rsid w:val="4B99D837"/>
    <w:rsid w:val="4D32FB4C"/>
    <w:rsid w:val="4EBF3093"/>
    <w:rsid w:val="4EDFAE00"/>
    <w:rsid w:val="4FAF7337"/>
    <w:rsid w:val="4FFAE02C"/>
    <w:rsid w:val="4FFF460D"/>
    <w:rsid w:val="507F6372"/>
    <w:rsid w:val="536F073F"/>
    <w:rsid w:val="53731939"/>
    <w:rsid w:val="53E90DC1"/>
    <w:rsid w:val="54680721"/>
    <w:rsid w:val="54F3BD53"/>
    <w:rsid w:val="54FF9442"/>
    <w:rsid w:val="55196EA9"/>
    <w:rsid w:val="554D5EAC"/>
    <w:rsid w:val="573568B4"/>
    <w:rsid w:val="57BAD169"/>
    <w:rsid w:val="57DF3D15"/>
    <w:rsid w:val="57DFDC94"/>
    <w:rsid w:val="57EB7B42"/>
    <w:rsid w:val="57FD754E"/>
    <w:rsid w:val="57FEF054"/>
    <w:rsid w:val="57FF76F9"/>
    <w:rsid w:val="5B27C3AC"/>
    <w:rsid w:val="5BABDEC5"/>
    <w:rsid w:val="5BDFA3DF"/>
    <w:rsid w:val="5BEB01AA"/>
    <w:rsid w:val="5BFD30E1"/>
    <w:rsid w:val="5D5F4A20"/>
    <w:rsid w:val="5D7BF844"/>
    <w:rsid w:val="5DBFCF28"/>
    <w:rsid w:val="5DFB2A50"/>
    <w:rsid w:val="5E7F692A"/>
    <w:rsid w:val="5EDD40C0"/>
    <w:rsid w:val="5EDF67C8"/>
    <w:rsid w:val="5EFF05BA"/>
    <w:rsid w:val="5F07EA2F"/>
    <w:rsid w:val="5F1F31B7"/>
    <w:rsid w:val="5F3E4F45"/>
    <w:rsid w:val="5F6F13BD"/>
    <w:rsid w:val="5F6F1C9E"/>
    <w:rsid w:val="5F7E92C4"/>
    <w:rsid w:val="5FAB9A0B"/>
    <w:rsid w:val="5FE12A79"/>
    <w:rsid w:val="5FE56F25"/>
    <w:rsid w:val="5FEFBC4C"/>
    <w:rsid w:val="5FF876FE"/>
    <w:rsid w:val="5FFD044C"/>
    <w:rsid w:val="5FFFD7D0"/>
    <w:rsid w:val="5FFFFB39"/>
    <w:rsid w:val="60D82ACC"/>
    <w:rsid w:val="616B1851"/>
    <w:rsid w:val="626D2A76"/>
    <w:rsid w:val="62FEF3EA"/>
    <w:rsid w:val="63F53E4A"/>
    <w:rsid w:val="64112789"/>
    <w:rsid w:val="671013B3"/>
    <w:rsid w:val="69DC461E"/>
    <w:rsid w:val="6AC7CD19"/>
    <w:rsid w:val="6AEF0117"/>
    <w:rsid w:val="6BCE4C44"/>
    <w:rsid w:val="6BDE6032"/>
    <w:rsid w:val="6BDF05C4"/>
    <w:rsid w:val="6BDF36B5"/>
    <w:rsid w:val="6BEE630D"/>
    <w:rsid w:val="6BEFA911"/>
    <w:rsid w:val="6BF75424"/>
    <w:rsid w:val="6BFF8BC0"/>
    <w:rsid w:val="6C07ADE2"/>
    <w:rsid w:val="6D3E6A51"/>
    <w:rsid w:val="6D57D810"/>
    <w:rsid w:val="6DB123F6"/>
    <w:rsid w:val="6DBB717E"/>
    <w:rsid w:val="6DE7862E"/>
    <w:rsid w:val="6DFC43BE"/>
    <w:rsid w:val="6DFD60E9"/>
    <w:rsid w:val="6DFE4A2C"/>
    <w:rsid w:val="6DFF793F"/>
    <w:rsid w:val="6E11552E"/>
    <w:rsid w:val="6E7B86E4"/>
    <w:rsid w:val="6EB788C1"/>
    <w:rsid w:val="6EBB229C"/>
    <w:rsid w:val="6EDE8759"/>
    <w:rsid w:val="6EDEF351"/>
    <w:rsid w:val="6EFA30DF"/>
    <w:rsid w:val="6EFE97D7"/>
    <w:rsid w:val="6F6FC48D"/>
    <w:rsid w:val="6F75BB17"/>
    <w:rsid w:val="6F7D0098"/>
    <w:rsid w:val="6F7F966C"/>
    <w:rsid w:val="6FBF8D8F"/>
    <w:rsid w:val="6FCF9866"/>
    <w:rsid w:val="6FDD6BFC"/>
    <w:rsid w:val="6FDFA035"/>
    <w:rsid w:val="6FF52F76"/>
    <w:rsid w:val="6FFDD9A5"/>
    <w:rsid w:val="6FFF0B70"/>
    <w:rsid w:val="6FFFA9D8"/>
    <w:rsid w:val="7092126C"/>
    <w:rsid w:val="71775D74"/>
    <w:rsid w:val="71BA0C33"/>
    <w:rsid w:val="71F33F0B"/>
    <w:rsid w:val="72FF21FE"/>
    <w:rsid w:val="73577D8C"/>
    <w:rsid w:val="73C763AE"/>
    <w:rsid w:val="73F8844F"/>
    <w:rsid w:val="73FEF53F"/>
    <w:rsid w:val="74BF941C"/>
    <w:rsid w:val="74DEBB8B"/>
    <w:rsid w:val="74EFE397"/>
    <w:rsid w:val="75134281"/>
    <w:rsid w:val="755ABB90"/>
    <w:rsid w:val="7567AB9C"/>
    <w:rsid w:val="757F2BD9"/>
    <w:rsid w:val="757F9695"/>
    <w:rsid w:val="75ED567D"/>
    <w:rsid w:val="75FFBE1C"/>
    <w:rsid w:val="769FD087"/>
    <w:rsid w:val="76BE1A6C"/>
    <w:rsid w:val="76EEFE23"/>
    <w:rsid w:val="76F7792E"/>
    <w:rsid w:val="770F83CD"/>
    <w:rsid w:val="777D983C"/>
    <w:rsid w:val="777F7E95"/>
    <w:rsid w:val="777F8514"/>
    <w:rsid w:val="77BF985E"/>
    <w:rsid w:val="77EB0A30"/>
    <w:rsid w:val="77EFF97C"/>
    <w:rsid w:val="77FD2DD1"/>
    <w:rsid w:val="77FFD227"/>
    <w:rsid w:val="77FFE042"/>
    <w:rsid w:val="786F6BBB"/>
    <w:rsid w:val="789125A4"/>
    <w:rsid w:val="789F880F"/>
    <w:rsid w:val="7955109C"/>
    <w:rsid w:val="79A96382"/>
    <w:rsid w:val="79C33213"/>
    <w:rsid w:val="79F72244"/>
    <w:rsid w:val="79F7D4A2"/>
    <w:rsid w:val="79FE0439"/>
    <w:rsid w:val="7AEC944A"/>
    <w:rsid w:val="7B1FA6F6"/>
    <w:rsid w:val="7B2AABAE"/>
    <w:rsid w:val="7B341286"/>
    <w:rsid w:val="7B4920AC"/>
    <w:rsid w:val="7B56316B"/>
    <w:rsid w:val="7B6E1E1B"/>
    <w:rsid w:val="7BBE0771"/>
    <w:rsid w:val="7BD72066"/>
    <w:rsid w:val="7BDDC4A3"/>
    <w:rsid w:val="7BF3C519"/>
    <w:rsid w:val="7BFA144B"/>
    <w:rsid w:val="7BFFA358"/>
    <w:rsid w:val="7C54566E"/>
    <w:rsid w:val="7C5F8FDA"/>
    <w:rsid w:val="7C7D4167"/>
    <w:rsid w:val="7CBDD19A"/>
    <w:rsid w:val="7CFCADF1"/>
    <w:rsid w:val="7CFF8BFD"/>
    <w:rsid w:val="7D397FB7"/>
    <w:rsid w:val="7D7377E8"/>
    <w:rsid w:val="7DBF6886"/>
    <w:rsid w:val="7DBFA8D5"/>
    <w:rsid w:val="7DDDD8B2"/>
    <w:rsid w:val="7DDE0CEE"/>
    <w:rsid w:val="7DED8A2C"/>
    <w:rsid w:val="7DFC5C92"/>
    <w:rsid w:val="7DFE5D73"/>
    <w:rsid w:val="7DFF7E4E"/>
    <w:rsid w:val="7DFFDAF8"/>
    <w:rsid w:val="7E7E509B"/>
    <w:rsid w:val="7EB8A718"/>
    <w:rsid w:val="7ED7E27B"/>
    <w:rsid w:val="7EDC4E86"/>
    <w:rsid w:val="7EDE09CB"/>
    <w:rsid w:val="7EE5FB72"/>
    <w:rsid w:val="7EF2A455"/>
    <w:rsid w:val="7EF7AF70"/>
    <w:rsid w:val="7EF93DD2"/>
    <w:rsid w:val="7EFF3402"/>
    <w:rsid w:val="7F2BE7C6"/>
    <w:rsid w:val="7F3AB47F"/>
    <w:rsid w:val="7F3F12B6"/>
    <w:rsid w:val="7F57D7C8"/>
    <w:rsid w:val="7F5B6313"/>
    <w:rsid w:val="7F6D60C9"/>
    <w:rsid w:val="7F7EA3C0"/>
    <w:rsid w:val="7FA5CC08"/>
    <w:rsid w:val="7FAB911C"/>
    <w:rsid w:val="7FACE480"/>
    <w:rsid w:val="7FB11C79"/>
    <w:rsid w:val="7FB56435"/>
    <w:rsid w:val="7FBD1E61"/>
    <w:rsid w:val="7FBF1A1B"/>
    <w:rsid w:val="7FCE92E5"/>
    <w:rsid w:val="7FCF1F29"/>
    <w:rsid w:val="7FD2D104"/>
    <w:rsid w:val="7FDD2C05"/>
    <w:rsid w:val="7FDD85A0"/>
    <w:rsid w:val="7FDD95D2"/>
    <w:rsid w:val="7FE993DB"/>
    <w:rsid w:val="7FEF9FD2"/>
    <w:rsid w:val="7FF2F35C"/>
    <w:rsid w:val="7FF3E1C0"/>
    <w:rsid w:val="7FF3F85B"/>
    <w:rsid w:val="7FF566CD"/>
    <w:rsid w:val="7FF75800"/>
    <w:rsid w:val="7FF7B62B"/>
    <w:rsid w:val="7FFAFB55"/>
    <w:rsid w:val="7FFB297B"/>
    <w:rsid w:val="7FFC5838"/>
    <w:rsid w:val="7FFD9899"/>
    <w:rsid w:val="7FFF1975"/>
    <w:rsid w:val="7FFF391B"/>
    <w:rsid w:val="7FFF633F"/>
    <w:rsid w:val="7FFF8903"/>
    <w:rsid w:val="7FFFAD8B"/>
    <w:rsid w:val="8EBF225C"/>
    <w:rsid w:val="8F5D59A4"/>
    <w:rsid w:val="8F5F6B2D"/>
    <w:rsid w:val="8FFB0B75"/>
    <w:rsid w:val="97BF2327"/>
    <w:rsid w:val="98B74015"/>
    <w:rsid w:val="9B9C1F6C"/>
    <w:rsid w:val="9BDF3334"/>
    <w:rsid w:val="9C7EF351"/>
    <w:rsid w:val="9D7B2324"/>
    <w:rsid w:val="9DFFEEB6"/>
    <w:rsid w:val="9F8F6FA3"/>
    <w:rsid w:val="9FCE4ACA"/>
    <w:rsid w:val="9FD4B984"/>
    <w:rsid w:val="9FFB9794"/>
    <w:rsid w:val="9FFC9604"/>
    <w:rsid w:val="9FFFDB11"/>
    <w:rsid w:val="A5FE2FD1"/>
    <w:rsid w:val="A67C683F"/>
    <w:rsid w:val="A7DBCE3C"/>
    <w:rsid w:val="ABBBED28"/>
    <w:rsid w:val="AD9F8C9A"/>
    <w:rsid w:val="ADEC83D2"/>
    <w:rsid w:val="ADFF10CC"/>
    <w:rsid w:val="AECFD7CF"/>
    <w:rsid w:val="AEFF80E1"/>
    <w:rsid w:val="AF7EFD40"/>
    <w:rsid w:val="AF9EA3A9"/>
    <w:rsid w:val="AFEDA70A"/>
    <w:rsid w:val="AFFFE447"/>
    <w:rsid w:val="AFFFF3BB"/>
    <w:rsid w:val="B0F7249B"/>
    <w:rsid w:val="B2AB062D"/>
    <w:rsid w:val="B35B6153"/>
    <w:rsid w:val="B37B5FD8"/>
    <w:rsid w:val="B38ED6A9"/>
    <w:rsid w:val="B5BC6AC8"/>
    <w:rsid w:val="B5C629E9"/>
    <w:rsid w:val="B5FFC808"/>
    <w:rsid w:val="B66DE0F3"/>
    <w:rsid w:val="B71F229D"/>
    <w:rsid w:val="B78EF67C"/>
    <w:rsid w:val="B7E93359"/>
    <w:rsid w:val="B7FA287C"/>
    <w:rsid w:val="B7FC8FD4"/>
    <w:rsid w:val="B7FF31FE"/>
    <w:rsid w:val="BA774207"/>
    <w:rsid w:val="BB6F226D"/>
    <w:rsid w:val="BBF73F6B"/>
    <w:rsid w:val="BDFE9F12"/>
    <w:rsid w:val="BDFF14D8"/>
    <w:rsid w:val="BE7DF3AB"/>
    <w:rsid w:val="BEEB588E"/>
    <w:rsid w:val="BEFC921C"/>
    <w:rsid w:val="BEFF10AD"/>
    <w:rsid w:val="BF5E20FA"/>
    <w:rsid w:val="BF7D4196"/>
    <w:rsid w:val="BF7F1BD2"/>
    <w:rsid w:val="BFA33CA7"/>
    <w:rsid w:val="BFB5558A"/>
    <w:rsid w:val="BFBDDB71"/>
    <w:rsid w:val="BFEFF3F7"/>
    <w:rsid w:val="BFFDAF01"/>
    <w:rsid w:val="BFFF50BF"/>
    <w:rsid w:val="BFFF8EE6"/>
    <w:rsid w:val="BFFFACE1"/>
    <w:rsid w:val="BFFFCC8A"/>
    <w:rsid w:val="BFFFE75D"/>
    <w:rsid w:val="C7BBC6D6"/>
    <w:rsid w:val="C89ED9A7"/>
    <w:rsid w:val="CB26FCAB"/>
    <w:rsid w:val="CBF60B7A"/>
    <w:rsid w:val="CCDD36C3"/>
    <w:rsid w:val="CF7F0D62"/>
    <w:rsid w:val="D1F503FA"/>
    <w:rsid w:val="D3FF088E"/>
    <w:rsid w:val="D63FB787"/>
    <w:rsid w:val="D6BD08E7"/>
    <w:rsid w:val="D6EB119C"/>
    <w:rsid w:val="D6FDA787"/>
    <w:rsid w:val="D77A959F"/>
    <w:rsid w:val="D77F9707"/>
    <w:rsid w:val="D7B710EC"/>
    <w:rsid w:val="D97BE255"/>
    <w:rsid w:val="DACF21D7"/>
    <w:rsid w:val="DB5DBF45"/>
    <w:rsid w:val="DB7387A1"/>
    <w:rsid w:val="DBA799E2"/>
    <w:rsid w:val="DC7ABEE3"/>
    <w:rsid w:val="DC7F37B0"/>
    <w:rsid w:val="DC9E4C42"/>
    <w:rsid w:val="DD5FA653"/>
    <w:rsid w:val="DDC3496C"/>
    <w:rsid w:val="DDFB2394"/>
    <w:rsid w:val="DDFFCA22"/>
    <w:rsid w:val="DE77926B"/>
    <w:rsid w:val="DE7DE59B"/>
    <w:rsid w:val="DEE262E6"/>
    <w:rsid w:val="DEEFF9CF"/>
    <w:rsid w:val="DF3F2014"/>
    <w:rsid w:val="DF5C7507"/>
    <w:rsid w:val="DF9FAA1C"/>
    <w:rsid w:val="DFBBD75C"/>
    <w:rsid w:val="DFD9770E"/>
    <w:rsid w:val="DFDD016C"/>
    <w:rsid w:val="DFDF029D"/>
    <w:rsid w:val="DFE61A72"/>
    <w:rsid w:val="DFF34AD3"/>
    <w:rsid w:val="DFF39B79"/>
    <w:rsid w:val="DFFB60A3"/>
    <w:rsid w:val="DFFD31B0"/>
    <w:rsid w:val="DFFF47CA"/>
    <w:rsid w:val="DFFFAE61"/>
    <w:rsid w:val="E2DB5A87"/>
    <w:rsid w:val="E5FC02D1"/>
    <w:rsid w:val="E6BB69F9"/>
    <w:rsid w:val="E6EF37CC"/>
    <w:rsid w:val="E72F10DC"/>
    <w:rsid w:val="E778A862"/>
    <w:rsid w:val="E7DF50C1"/>
    <w:rsid w:val="E87B70A2"/>
    <w:rsid w:val="E8D76BCE"/>
    <w:rsid w:val="E97F65EC"/>
    <w:rsid w:val="EADC83D7"/>
    <w:rsid w:val="EAF7F1D0"/>
    <w:rsid w:val="EBDECC2E"/>
    <w:rsid w:val="ECEAAF28"/>
    <w:rsid w:val="EDBFD3AA"/>
    <w:rsid w:val="EDEF4004"/>
    <w:rsid w:val="EDFD232B"/>
    <w:rsid w:val="EDFE5F27"/>
    <w:rsid w:val="EDFFCF00"/>
    <w:rsid w:val="EE8AFE1C"/>
    <w:rsid w:val="EEFA5F6E"/>
    <w:rsid w:val="EF3B127E"/>
    <w:rsid w:val="EF3FE0F5"/>
    <w:rsid w:val="EF5DC768"/>
    <w:rsid w:val="EFABB031"/>
    <w:rsid w:val="EFADAA4C"/>
    <w:rsid w:val="EFD55489"/>
    <w:rsid w:val="EFE31411"/>
    <w:rsid w:val="EFEF0094"/>
    <w:rsid w:val="F1F395D8"/>
    <w:rsid w:val="F1FF3360"/>
    <w:rsid w:val="F2DEA05A"/>
    <w:rsid w:val="F2FF3A7A"/>
    <w:rsid w:val="F3794464"/>
    <w:rsid w:val="F3CF073D"/>
    <w:rsid w:val="F3FA869C"/>
    <w:rsid w:val="F4FF43E7"/>
    <w:rsid w:val="F4FF84A5"/>
    <w:rsid w:val="F57D3FA1"/>
    <w:rsid w:val="F5D77FD0"/>
    <w:rsid w:val="F5FE7683"/>
    <w:rsid w:val="F639FDF8"/>
    <w:rsid w:val="F7798D0D"/>
    <w:rsid w:val="F7BFF8A7"/>
    <w:rsid w:val="F7D76496"/>
    <w:rsid w:val="F7DB7B04"/>
    <w:rsid w:val="F7EDAF2A"/>
    <w:rsid w:val="F7EEC0BA"/>
    <w:rsid w:val="F7F597CB"/>
    <w:rsid w:val="F7F65DAA"/>
    <w:rsid w:val="F7F715EE"/>
    <w:rsid w:val="F7FF61F0"/>
    <w:rsid w:val="F7FF62E2"/>
    <w:rsid w:val="F7FFD1F6"/>
    <w:rsid w:val="F8D04070"/>
    <w:rsid w:val="F8E8D507"/>
    <w:rsid w:val="F93B35A3"/>
    <w:rsid w:val="F9841BE9"/>
    <w:rsid w:val="F9FA1080"/>
    <w:rsid w:val="FA3D022F"/>
    <w:rsid w:val="FA7F6236"/>
    <w:rsid w:val="FABC5063"/>
    <w:rsid w:val="FB1FB846"/>
    <w:rsid w:val="FB770C10"/>
    <w:rsid w:val="FB7FE6B8"/>
    <w:rsid w:val="FB9D71D8"/>
    <w:rsid w:val="FBA94DEF"/>
    <w:rsid w:val="FBDB2C9C"/>
    <w:rsid w:val="FBDFBDCF"/>
    <w:rsid w:val="FBE7D696"/>
    <w:rsid w:val="FBF758AD"/>
    <w:rsid w:val="FBF9AB6F"/>
    <w:rsid w:val="FBFC24EB"/>
    <w:rsid w:val="FBFF6260"/>
    <w:rsid w:val="FBFFB511"/>
    <w:rsid w:val="FBFFD543"/>
    <w:rsid w:val="FC6BECB3"/>
    <w:rsid w:val="FC798D9B"/>
    <w:rsid w:val="FCFF4F1C"/>
    <w:rsid w:val="FD3D36C1"/>
    <w:rsid w:val="FD59D062"/>
    <w:rsid w:val="FD5DE01D"/>
    <w:rsid w:val="FD7579DB"/>
    <w:rsid w:val="FD7AEB45"/>
    <w:rsid w:val="FDD5052B"/>
    <w:rsid w:val="FDDAC906"/>
    <w:rsid w:val="FDDFBC8D"/>
    <w:rsid w:val="FDE92824"/>
    <w:rsid w:val="FDED4FE7"/>
    <w:rsid w:val="FDEF0B21"/>
    <w:rsid w:val="FDEFFB1A"/>
    <w:rsid w:val="FDF5B80F"/>
    <w:rsid w:val="FDFBE4BF"/>
    <w:rsid w:val="FDFD30B1"/>
    <w:rsid w:val="FDFD87BE"/>
    <w:rsid w:val="FDFF84B5"/>
    <w:rsid w:val="FDFFDA72"/>
    <w:rsid w:val="FE31A3AF"/>
    <w:rsid w:val="FE5D4482"/>
    <w:rsid w:val="FEB7EB15"/>
    <w:rsid w:val="FEDB0CBA"/>
    <w:rsid w:val="FEE118B6"/>
    <w:rsid w:val="FEEFC20F"/>
    <w:rsid w:val="FEF67560"/>
    <w:rsid w:val="FEFB3EE1"/>
    <w:rsid w:val="FEFF16B7"/>
    <w:rsid w:val="FEFF92FD"/>
    <w:rsid w:val="FEFFF2F2"/>
    <w:rsid w:val="FF1FC617"/>
    <w:rsid w:val="FF4DFF11"/>
    <w:rsid w:val="FF4F0527"/>
    <w:rsid w:val="FF5BCBA9"/>
    <w:rsid w:val="FF5FD35F"/>
    <w:rsid w:val="FF7C733A"/>
    <w:rsid w:val="FF7F9D86"/>
    <w:rsid w:val="FF9C3594"/>
    <w:rsid w:val="FFAF580F"/>
    <w:rsid w:val="FFBB58BA"/>
    <w:rsid w:val="FFBBEB92"/>
    <w:rsid w:val="FFCEDCEE"/>
    <w:rsid w:val="FFD7A303"/>
    <w:rsid w:val="FFD7A69E"/>
    <w:rsid w:val="FFDB1E84"/>
    <w:rsid w:val="FFDD06B4"/>
    <w:rsid w:val="FFDE9A2D"/>
    <w:rsid w:val="FFE57E77"/>
    <w:rsid w:val="FFEB7DAB"/>
    <w:rsid w:val="FFEBD442"/>
    <w:rsid w:val="FFEC12BB"/>
    <w:rsid w:val="FFECA782"/>
    <w:rsid w:val="FFED928B"/>
    <w:rsid w:val="FFEF5E18"/>
    <w:rsid w:val="FFF74132"/>
    <w:rsid w:val="FFF99E5D"/>
    <w:rsid w:val="FFFA308C"/>
    <w:rsid w:val="FFFB2AC2"/>
    <w:rsid w:val="FFFBEB14"/>
    <w:rsid w:val="FFFDC175"/>
    <w:rsid w:val="FFFE6FA3"/>
    <w:rsid w:val="FFFEB776"/>
    <w:rsid w:val="FFFF08E6"/>
    <w:rsid w:val="FFFF3D51"/>
    <w:rsid w:val="FFFF533E"/>
    <w:rsid w:val="FFFFC3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0"/>
      <w:szCs w:val="24"/>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spacing w:after="120" w:afterLines="0"/>
      <w:ind w:left="420" w:leftChars="200" w:firstLine="420"/>
    </w:pPr>
  </w:style>
  <w:style w:type="paragraph" w:styleId="3">
    <w:name w:val="Body Text Indent"/>
    <w:basedOn w:val="1"/>
    <w:qFormat/>
    <w:uiPriority w:val="0"/>
    <w:pPr>
      <w:ind w:firstLine="630"/>
    </w:pPr>
    <w:rPr>
      <w:szCs w:val="20"/>
    </w:rPr>
  </w:style>
  <w:style w:type="paragraph" w:styleId="4">
    <w:name w:val="Plain Text"/>
    <w:basedOn w:val="1"/>
    <w:link w:val="16"/>
    <w:qFormat/>
    <w:uiPriority w:val="0"/>
    <w:rPr>
      <w:rFonts w:ascii="宋体" w:hAnsi="Courier New" w:eastAsia="宋体" w:cs="Courier New"/>
      <w:sz w:val="21"/>
      <w:szCs w:val="21"/>
    </w:rPr>
  </w:style>
  <w:style w:type="paragraph" w:styleId="5">
    <w:name w:val="Date"/>
    <w:basedOn w:val="1"/>
    <w:next w:val="1"/>
    <w:link w:val="18"/>
    <w:semiHidden/>
    <w:unhideWhenUsed/>
    <w:qFormat/>
    <w:uiPriority w:val="99"/>
    <w:pPr>
      <w:ind w:left="100" w:leftChars="2500"/>
    </w:pPr>
  </w:style>
  <w:style w:type="paragraph" w:styleId="6">
    <w:name w:val="footer"/>
    <w:basedOn w:val="1"/>
    <w:link w:val="15"/>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4"/>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9">
    <w:name w:val="Normal (Web)"/>
    <w:basedOn w:val="1"/>
    <w:unhideWhenUsed/>
    <w:qFormat/>
    <w:uiPriority w:val="99"/>
    <w:pPr>
      <w:spacing w:line="560" w:lineRule="exact"/>
    </w:pPr>
    <w:rPr>
      <w:rFonts w:eastAsia="宋体"/>
      <w:sz w:val="24"/>
    </w:rPr>
  </w:style>
  <w:style w:type="paragraph" w:styleId="10">
    <w:name w:val="Title"/>
    <w:basedOn w:val="1"/>
    <w:next w:val="1"/>
    <w:qFormat/>
    <w:uiPriority w:val="10"/>
    <w:pPr>
      <w:jc w:val="center"/>
      <w:outlineLvl w:val="0"/>
    </w:pPr>
    <w:rPr>
      <w:rFonts w:ascii="Arial" w:hAnsi="Arial"/>
      <w:b/>
      <w:sz w:val="32"/>
    </w:rPr>
  </w:style>
  <w:style w:type="table" w:styleId="12">
    <w:name w:val="Table Grid"/>
    <w:basedOn w:val="11"/>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4">
    <w:name w:val="页眉 Char"/>
    <w:basedOn w:val="13"/>
    <w:link w:val="7"/>
    <w:semiHidden/>
    <w:qFormat/>
    <w:uiPriority w:val="99"/>
    <w:rPr>
      <w:sz w:val="18"/>
      <w:szCs w:val="18"/>
    </w:rPr>
  </w:style>
  <w:style w:type="character" w:customStyle="1" w:styleId="15">
    <w:name w:val="页脚 Char"/>
    <w:basedOn w:val="13"/>
    <w:link w:val="6"/>
    <w:qFormat/>
    <w:uiPriority w:val="99"/>
    <w:rPr>
      <w:sz w:val="18"/>
      <w:szCs w:val="18"/>
    </w:rPr>
  </w:style>
  <w:style w:type="character" w:customStyle="1" w:styleId="16">
    <w:name w:val="纯文本 Char"/>
    <w:basedOn w:val="13"/>
    <w:link w:val="4"/>
    <w:qFormat/>
    <w:uiPriority w:val="0"/>
    <w:rPr>
      <w:rFonts w:ascii="宋体" w:hAnsi="Courier New" w:eastAsia="宋体" w:cs="Courier New"/>
      <w:szCs w:val="21"/>
    </w:rPr>
  </w:style>
  <w:style w:type="paragraph" w:styleId="17">
    <w:name w:val="List Paragraph"/>
    <w:basedOn w:val="1"/>
    <w:qFormat/>
    <w:uiPriority w:val="34"/>
    <w:pPr>
      <w:ind w:firstLine="420" w:firstLineChars="200"/>
    </w:pPr>
  </w:style>
  <w:style w:type="character" w:customStyle="1" w:styleId="18">
    <w:name w:val="日期 Char"/>
    <w:basedOn w:val="13"/>
    <w:link w:val="5"/>
    <w:semiHidden/>
    <w:qFormat/>
    <w:uiPriority w:val="99"/>
    <w:rPr>
      <w:rFonts w:ascii="Times New Roman" w:hAnsi="Times New Roman" w:eastAsia="仿宋_GB2312" w:cs="Times New Roman"/>
      <w:sz w:val="30"/>
      <w:szCs w:val="24"/>
    </w:rPr>
  </w:style>
  <w:style w:type="character" w:customStyle="1" w:styleId="19">
    <w:name w:val="NormalCharacter"/>
    <w:qFormat/>
    <w:uiPriority w:val="0"/>
    <w:rPr>
      <w:rFonts w:ascii="Calibri" w:hAnsi="Calibri" w:eastAsia="宋体" w:cs="Times New Roman"/>
      <w:kern w:val="2"/>
      <w:sz w:val="21"/>
      <w:szCs w:val="24"/>
      <w:lang w:val="en-US" w:eastAsia="zh-CN" w:bidi="ar-SA"/>
    </w:rPr>
  </w:style>
  <w:style w:type="character" w:customStyle="1" w:styleId="20">
    <w:name w:val="font01"/>
    <w:basedOn w:val="13"/>
    <w:qFormat/>
    <w:uiPriority w:val="0"/>
    <w:rPr>
      <w:rFonts w:hint="eastAsia" w:ascii="宋体" w:hAnsi="宋体" w:eastAsia="宋体" w:cs="宋体"/>
      <w:color w:val="000000"/>
      <w:sz w:val="20"/>
      <w:szCs w:val="20"/>
      <w:u w:val="none"/>
    </w:rPr>
  </w:style>
  <w:style w:type="character" w:customStyle="1" w:styleId="21">
    <w:name w:val="font31"/>
    <w:basedOn w:val="13"/>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9</Pages>
  <Words>3962</Words>
  <Characters>4758</Characters>
  <Lines>38</Lines>
  <Paragraphs>10</Paragraphs>
  <TotalTime>0</TotalTime>
  <ScaleCrop>false</ScaleCrop>
  <LinksUpToDate>false</LinksUpToDate>
  <CharactersWithSpaces>4864</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2021-12-05T02:40:00Z</dcterms:created>
  <dc:creator>牟伶俐</dc:creator>
  <cp:lastModifiedBy>牟伶俐</cp:lastModifiedBy>
  <cp:lastPrinted>2026-10-17T18:57:00Z</cp:lastPrinted>
  <dcterms:modified xsi:type="dcterms:W3CDTF">2026-10-20T14:29:58Z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47BB76FA37244270AEEE1B5355229B5D</vt:lpwstr>
  </property>
  <property fmtid="{D5CDD505-2E9C-101B-9397-08002B2CF9AE}" pid="4" name="KSOTemplateDocerSaveRecord">
    <vt:lpwstr>eyJoZGlkIjoiMzYzODM0YWNiMDM0YjQ5MmI5ZmRjZTI1YTExY2MxNWUiLCJ1c2VySWQiOiI1MzkyNTE0OTEifQ==</vt:lpwstr>
  </property>
</Properties>
</file>