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Times New Roman" w:hAnsi="Times New Roman" w:eastAsia="方正小标宋简体" w:cs="Times New Roman"/>
          <w:sz w:val="30"/>
          <w:szCs w:val="30"/>
        </w:rPr>
      </w:pPr>
      <w:bookmarkStart w:id="0" w:name="_Toc15306267"/>
    </w:p>
    <w:p>
      <w:pPr>
        <w:spacing w:line="600" w:lineRule="exact"/>
        <w:jc w:val="center"/>
        <w:outlineLvl w:val="0"/>
        <w:rPr>
          <w:rFonts w:hint="default" w:ascii="Times New Roman" w:hAnsi="Times New Roman" w:eastAsia="方正小标宋简体" w:cs="Times New Roman"/>
          <w:sz w:val="72"/>
          <w:szCs w:val="72"/>
        </w:rPr>
      </w:pPr>
    </w:p>
    <w:p>
      <w:pPr>
        <w:spacing w:line="600" w:lineRule="exact"/>
        <w:jc w:val="center"/>
        <w:outlineLvl w:val="0"/>
        <w:rPr>
          <w:rFonts w:hint="default" w:ascii="Times New Roman" w:hAnsi="Times New Roman" w:eastAsia="方正小标宋简体" w:cs="Times New Roman"/>
          <w:sz w:val="72"/>
          <w:szCs w:val="72"/>
        </w:rPr>
      </w:pPr>
    </w:p>
    <w:p>
      <w:pPr>
        <w:spacing w:line="600" w:lineRule="exact"/>
        <w:jc w:val="center"/>
        <w:outlineLvl w:val="0"/>
        <w:rPr>
          <w:rFonts w:hint="default" w:ascii="Times New Roman" w:hAnsi="Times New Roman" w:eastAsia="方正小标宋简体" w:cs="Times New Roman"/>
          <w:sz w:val="72"/>
          <w:szCs w:val="72"/>
        </w:rPr>
      </w:pPr>
    </w:p>
    <w:bookmarkEnd w:id="0"/>
    <w:p>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bookmarkStart w:id="1" w:name="_Toc15377425"/>
      <w:bookmarkStart w:id="2" w:name="_Toc15377193"/>
      <w:bookmarkStart w:id="3" w:name="_Toc15378441"/>
      <w:bookmarkStart w:id="4" w:name="_Toc15396597"/>
      <w:bookmarkStart w:id="5" w:name="_Toc15396475"/>
      <w:r>
        <w:rPr>
          <w:rFonts w:hint="default" w:ascii="Times New Roman" w:hAnsi="Times New Roman" w:eastAsia="黑体" w:cs="Times New Roman"/>
          <w:color w:val="000000"/>
          <w:sz w:val="72"/>
          <w:szCs w:val="72"/>
        </w:rPr>
        <w:t>202</w:t>
      </w:r>
      <w:r>
        <w:rPr>
          <w:rFonts w:hint="default" w:ascii="Times New Roman" w:hAnsi="Times New Roman" w:eastAsia="黑体" w:cs="Times New Roman"/>
          <w:color w:val="000000"/>
          <w:sz w:val="72"/>
          <w:szCs w:val="72"/>
          <w:lang w:val="en-US" w:eastAsia="zh-CN"/>
        </w:rPr>
        <w:t>1</w:t>
      </w:r>
      <w:r>
        <w:rPr>
          <w:rFonts w:hint="default" w:ascii="Times New Roman" w:hAnsi="Times New Roman" w:eastAsia="方正小标宋简体" w:cs="Times New Roman"/>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bookmarkStart w:id="6" w:name="_Toc15378442"/>
      <w:bookmarkStart w:id="7" w:name="_Toc15396476"/>
      <w:bookmarkStart w:id="8" w:name="_Toc15396598"/>
      <w:bookmarkStart w:id="9" w:name="_Toc15377426"/>
      <w:bookmarkStart w:id="10" w:name="_Toc15377194"/>
      <w:r>
        <w:rPr>
          <w:rFonts w:hint="default" w:ascii="Times New Roman" w:hAnsi="Times New Roman" w:eastAsia="方正小标宋简体" w:cs="Times New Roman"/>
          <w:color w:val="000000"/>
          <w:sz w:val="72"/>
          <w:szCs w:val="72"/>
        </w:rPr>
        <w:t>四川省</w:t>
      </w:r>
      <w:bookmarkStart w:id="11" w:name="_Toc15306268"/>
      <w:r>
        <w:rPr>
          <w:rFonts w:hint="default" w:ascii="Times New Roman" w:hAnsi="Times New Roman" w:eastAsia="方正小标宋简体" w:cs="Times New Roman"/>
          <w:color w:val="000000"/>
          <w:sz w:val="72"/>
          <w:szCs w:val="72"/>
        </w:rPr>
        <w:t>社会科学界联合会</w:t>
      </w:r>
      <w:r>
        <w:rPr>
          <w:rFonts w:hint="eastAsia" w:eastAsia="方正小标宋简体" w:cs="Times New Roman"/>
          <w:color w:val="000000"/>
          <w:sz w:val="72"/>
          <w:szCs w:val="72"/>
          <w:lang w:val="en-US" w:eastAsia="zh-CN"/>
        </w:rPr>
        <w:t>单位</w:t>
      </w:r>
      <w:r>
        <w:rPr>
          <w:rFonts w:hint="default" w:ascii="Times New Roman" w:hAnsi="Times New Roman" w:eastAsia="方正小标宋简体" w:cs="Times New Roman"/>
          <w:color w:val="000000"/>
          <w:sz w:val="72"/>
          <w:szCs w:val="72"/>
        </w:rPr>
        <w:t>决算</w:t>
      </w:r>
      <w:bookmarkEnd w:id="6"/>
      <w:bookmarkEnd w:id="7"/>
      <w:bookmarkEnd w:id="8"/>
      <w:bookmarkEnd w:id="9"/>
      <w:bookmarkEnd w:id="10"/>
      <w:bookmarkEnd w:id="11"/>
    </w:p>
    <w:p>
      <w:pPr>
        <w:widowControl/>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br w:type="page"/>
      </w:r>
    </w:p>
    <w:p>
      <w:pPr>
        <w:widowControl/>
        <w:jc w:val="center"/>
        <w:rPr>
          <w:rStyle w:val="17"/>
          <w:rFonts w:hint="default" w:ascii="Times New Roman" w:hAnsi="Times New Roman" w:eastAsia="仿宋" w:cs="Times New Roman"/>
          <w:kern w:val="2"/>
          <w:sz w:val="28"/>
          <w:szCs w:val="28"/>
          <w:lang w:val="en-US" w:eastAsia="zh-CN" w:bidi="ar-SA"/>
        </w:rPr>
      </w:pPr>
      <w:r>
        <w:rPr>
          <w:rFonts w:hint="default" w:ascii="Times New Roman" w:hAnsi="Times New Roman" w:eastAsia="黑体" w:cs="Times New Roman"/>
          <w:color w:val="000000"/>
          <w:sz w:val="48"/>
          <w:szCs w:val="48"/>
        </w:rPr>
        <w:t>目录</w:t>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TOC \o "1-2" \h \z \u </w:instrText>
      </w:r>
      <w:r>
        <w:rPr>
          <w:rStyle w:val="17"/>
          <w:rFonts w:hint="default" w:ascii="Times New Roman" w:hAnsi="Times New Roman" w:eastAsia="仿宋" w:cs="Times New Roman"/>
          <w:kern w:val="2"/>
          <w:sz w:val="28"/>
          <w:szCs w:val="28"/>
          <w:lang w:val="en-US" w:eastAsia="zh-CN" w:bidi="ar-SA"/>
        </w:rPr>
        <w:fldChar w:fldCharType="separate"/>
      </w:r>
    </w:p>
    <w:p>
      <w:pPr>
        <w:pStyle w:val="11"/>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公开时间：2022年8月29日</w:t>
      </w:r>
    </w:p>
    <w:p>
      <w:pPr>
        <w:rPr>
          <w:rStyle w:val="17"/>
          <w:rFonts w:hint="default" w:ascii="Times New Roman" w:hAnsi="Times New Roman" w:eastAsia="仿宋" w:cs="Times New Roman"/>
          <w:kern w:val="2"/>
          <w:sz w:val="28"/>
          <w:szCs w:val="28"/>
          <w:lang w:val="en-US" w:eastAsia="zh-CN" w:bidi="ar-SA"/>
        </w:rPr>
      </w:pPr>
    </w:p>
    <w:p>
      <w:pPr>
        <w:pStyle w:val="11"/>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"_Toc15396599"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第一部分部门概况</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t>4</w:t>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"_Toc15396600"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eastAsia" w:ascii="Times New Roman" w:hAnsi="Times New Roman" w:eastAsia="仿宋" w:cs="Times New Roman"/>
          <w:kern w:val="2"/>
          <w:sz w:val="28"/>
          <w:szCs w:val="28"/>
          <w:lang w:val="en-US" w:eastAsia="zh-CN" w:bidi="ar-SA"/>
        </w:rPr>
        <w:t>一、职能简介</w:t>
      </w:r>
      <w:r>
        <w:rPr>
          <w:rStyle w:val="17"/>
          <w:rFonts w:hint="default" w:ascii="Times New Roman" w:hAnsi="Times New Roman" w:eastAsia="仿宋" w:cs="Times New Roman"/>
          <w:kern w:val="2"/>
          <w:sz w:val="28"/>
          <w:szCs w:val="28"/>
          <w:lang w:val="en-US" w:eastAsia="zh-CN" w:bidi="ar-SA"/>
        </w:rPr>
        <w:tab/>
      </w:r>
      <w:r>
        <w:rPr>
          <w:rStyle w:val="17"/>
          <w:rFonts w:hint="eastAsia" w:ascii="Times New Roman" w:hAnsi="Times New Roman" w:eastAsia="仿宋" w:cs="Times New Roman"/>
          <w:kern w:val="2"/>
          <w:sz w:val="28"/>
          <w:szCs w:val="28"/>
          <w:lang w:val="en-US" w:eastAsia="zh-CN" w:bidi="ar-SA"/>
        </w:rPr>
        <w:t>4</w:t>
      </w:r>
      <w:r>
        <w:rPr>
          <w:rStyle w:val="17"/>
          <w:rFonts w:hint="eastAsia" w:ascii="Times New Roman" w:hAnsi="Times New Roman" w:eastAsia="仿宋" w:cs="Times New Roman"/>
          <w:kern w:val="2"/>
          <w:sz w:val="28"/>
          <w:szCs w:val="28"/>
          <w:lang w:val="en-US" w:eastAsia="zh-CN" w:bidi="ar-SA"/>
        </w:rPr>
        <w:fldChar w:fldCharType="end"/>
      </w:r>
    </w:p>
    <w:p>
      <w:pPr>
        <w:pStyle w:val="12"/>
        <w:rPr>
          <w:rStyle w:val="17"/>
          <w:rFonts w:hint="eastAsia"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"_Toc15396601"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eastAsia" w:ascii="Times New Roman" w:hAnsi="Times New Roman" w:eastAsia="仿宋" w:cs="Times New Roman"/>
          <w:kern w:val="2"/>
          <w:sz w:val="28"/>
          <w:szCs w:val="28"/>
          <w:lang w:val="en-US" w:eastAsia="zh-CN" w:bidi="ar-SA"/>
        </w:rPr>
        <w:t>二、202</w:t>
      </w:r>
      <w:r>
        <w:rPr>
          <w:rStyle w:val="17"/>
          <w:rFonts w:hint="default" w:eastAsia="仿宋" w:cs="Times New Roman"/>
          <w:kern w:val="2"/>
          <w:sz w:val="28"/>
          <w:szCs w:val="28"/>
          <w:lang w:val="en" w:eastAsia="zh-CN" w:bidi="ar-SA"/>
        </w:rPr>
        <w:t>1</w:t>
      </w:r>
      <w:r>
        <w:rPr>
          <w:rStyle w:val="17"/>
          <w:rFonts w:hint="eastAsia" w:ascii="Times New Roman" w:hAnsi="Times New Roman" w:eastAsia="仿宋" w:cs="Times New Roman"/>
          <w:kern w:val="2"/>
          <w:sz w:val="28"/>
          <w:szCs w:val="28"/>
          <w:lang w:val="en-US" w:eastAsia="zh-CN" w:bidi="ar-SA"/>
        </w:rPr>
        <w:t>年重点工作完成情况</w:t>
      </w:r>
      <w:r>
        <w:rPr>
          <w:rStyle w:val="17"/>
          <w:rFonts w:hint="default" w:ascii="Times New Roman" w:hAnsi="Times New Roman" w:eastAsia="仿宋" w:cs="Times New Roman"/>
          <w:kern w:val="2"/>
          <w:sz w:val="28"/>
          <w:szCs w:val="28"/>
          <w:lang w:val="en-US" w:eastAsia="zh-CN" w:bidi="ar-SA"/>
        </w:rPr>
        <w:tab/>
      </w:r>
      <w:r>
        <w:rPr>
          <w:rStyle w:val="17"/>
          <w:rFonts w:hint="eastAsia" w:ascii="Times New Roman" w:hAnsi="Times New Roman" w:eastAsia="仿宋" w:cs="Times New Roman"/>
          <w:kern w:val="2"/>
          <w:sz w:val="28"/>
          <w:szCs w:val="28"/>
          <w:lang w:val="en-US" w:eastAsia="zh-CN" w:bidi="ar-SA"/>
        </w:rPr>
        <w:t>5</w:t>
      </w:r>
      <w:r>
        <w:rPr>
          <w:rStyle w:val="17"/>
          <w:rFonts w:hint="eastAsia" w:ascii="Times New Roman" w:hAnsi="Times New Roman" w:eastAsia="仿宋" w:cs="Times New Roman"/>
          <w:kern w:val="2"/>
          <w:sz w:val="28"/>
          <w:szCs w:val="28"/>
          <w:lang w:val="en-US" w:eastAsia="zh-CN" w:bidi="ar-SA"/>
        </w:rPr>
        <w:fldChar w:fldCharType="end"/>
      </w:r>
    </w:p>
    <w:p>
      <w:pPr>
        <w:rPr>
          <w:rStyle w:val="17"/>
          <w:rFonts w:hint="default" w:ascii="Times New Roman" w:hAnsi="Times New Roman" w:eastAsia="仿宋" w:cs="Times New Roman"/>
          <w:kern w:val="2"/>
          <w:sz w:val="28"/>
          <w:szCs w:val="28"/>
          <w:lang w:val="en-US" w:eastAsia="zh-CN" w:bidi="ar-SA"/>
        </w:rPr>
      </w:pPr>
      <w:r>
        <w:rPr>
          <w:rStyle w:val="17"/>
          <w:rFonts w:hint="eastAsia" w:ascii="Times New Roman" w:hAnsi="Times New Roman" w:eastAsia="仿宋" w:cs="Times New Roman"/>
          <w:kern w:val="2"/>
          <w:sz w:val="28"/>
          <w:szCs w:val="28"/>
          <w:lang w:val="en-US" w:eastAsia="zh-CN" w:bidi="ar-SA"/>
        </w:rPr>
        <w:t xml:space="preserve">   三、机构设置情况.......................................</w:t>
      </w:r>
      <w:r>
        <w:rPr>
          <w:rStyle w:val="17"/>
          <w:rFonts w:hint="default" w:eastAsia="仿宋" w:cs="Times New Roman"/>
          <w:kern w:val="2"/>
          <w:sz w:val="28"/>
          <w:szCs w:val="28"/>
          <w:lang w:val="en" w:eastAsia="zh-CN" w:bidi="ar-SA"/>
        </w:rPr>
        <w:t>.....................................</w:t>
      </w:r>
      <w:bookmarkStart w:id="65" w:name="_GoBack"/>
      <w:bookmarkEnd w:id="65"/>
      <w:r>
        <w:rPr>
          <w:rStyle w:val="17"/>
          <w:rFonts w:hint="eastAsia" w:ascii="Times New Roman" w:hAnsi="Times New Roman" w:eastAsia="仿宋" w:cs="Times New Roman"/>
          <w:kern w:val="2"/>
          <w:sz w:val="28"/>
          <w:szCs w:val="28"/>
          <w:lang w:val="en-US" w:eastAsia="zh-CN" w:bidi="ar-SA"/>
        </w:rPr>
        <w:t>10</w:t>
      </w:r>
    </w:p>
    <w:p>
      <w:pPr>
        <w:pStyle w:val="11"/>
        <w:rPr>
          <w:rStyle w:val="17"/>
          <w:rFonts w:hint="eastAsia"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"_Toc15396602"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第二部分 202</w:t>
      </w:r>
      <w:r>
        <w:rPr>
          <w:rStyle w:val="17"/>
          <w:rFonts w:hint="eastAsia" w:ascii="Times New Roman" w:hAnsi="Times New Roman" w:eastAsia="仿宋" w:cs="Times New Roman"/>
          <w:kern w:val="2"/>
          <w:sz w:val="28"/>
          <w:szCs w:val="28"/>
          <w:lang w:val="en-US" w:eastAsia="zh-CN" w:bidi="ar-SA"/>
        </w:rPr>
        <w:t>1</w:t>
      </w:r>
      <w:r>
        <w:rPr>
          <w:rStyle w:val="17"/>
          <w:rFonts w:hint="default" w:ascii="Times New Roman" w:hAnsi="Times New Roman" w:eastAsia="仿宋" w:cs="Times New Roman"/>
          <w:kern w:val="2"/>
          <w:sz w:val="28"/>
          <w:szCs w:val="28"/>
          <w:lang w:val="en-US" w:eastAsia="zh-CN" w:bidi="ar-SA"/>
        </w:rPr>
        <w:t>年度部门决算情况说明</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t>1</w:t>
      </w:r>
      <w:r>
        <w:rPr>
          <w:rStyle w:val="17"/>
          <w:rFonts w:hint="default" w:ascii="Times New Roman" w:hAnsi="Times New Roman" w:eastAsia="仿宋" w:cs="Times New Roman"/>
          <w:kern w:val="2"/>
          <w:sz w:val="28"/>
          <w:szCs w:val="28"/>
          <w:lang w:val="en-US" w:eastAsia="zh-CN" w:bidi="ar-SA"/>
        </w:rPr>
        <w:fldChar w:fldCharType="end"/>
      </w:r>
      <w:r>
        <w:rPr>
          <w:rStyle w:val="17"/>
          <w:rFonts w:hint="eastAsia" w:ascii="Times New Roman" w:hAnsi="Times New Roman" w:eastAsia="仿宋" w:cs="Times New Roman"/>
          <w:kern w:val="2"/>
          <w:sz w:val="28"/>
          <w:szCs w:val="28"/>
          <w:lang w:val="en-US" w:eastAsia="zh-CN" w:bidi="ar-SA"/>
        </w:rPr>
        <w:t>1</w:t>
      </w:r>
    </w:p>
    <w:p>
      <w:pPr>
        <w:pStyle w:val="12"/>
        <w:rPr>
          <w:rStyle w:val="17"/>
          <w:rFonts w:hint="eastAsia"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一、收入支出决算总体情况说明</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t>1</w:t>
      </w:r>
      <w:r>
        <w:rPr>
          <w:rStyle w:val="17"/>
          <w:rFonts w:hint="eastAsia" w:ascii="Times New Roman" w:hAnsi="Times New Roman" w:eastAsia="仿宋" w:cs="Times New Roman"/>
          <w:kern w:val="2"/>
          <w:sz w:val="28"/>
          <w:szCs w:val="28"/>
          <w:lang w:val="en-US" w:eastAsia="zh-CN" w:bidi="ar-SA"/>
        </w:rPr>
        <w:t>1</w:t>
      </w:r>
    </w:p>
    <w:p>
      <w:pPr>
        <w:pStyle w:val="12"/>
        <w:rPr>
          <w:rStyle w:val="17"/>
          <w:rFonts w:hint="eastAsia"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"_Toc15396604"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二、收入决算情况说明</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t>1</w:t>
      </w:r>
      <w:r>
        <w:rPr>
          <w:rStyle w:val="17"/>
          <w:rFonts w:hint="default" w:ascii="Times New Roman" w:hAnsi="Times New Roman" w:eastAsia="仿宋" w:cs="Times New Roman"/>
          <w:kern w:val="2"/>
          <w:sz w:val="28"/>
          <w:szCs w:val="28"/>
          <w:lang w:val="en-US" w:eastAsia="zh-CN" w:bidi="ar-SA"/>
        </w:rPr>
        <w:fldChar w:fldCharType="end"/>
      </w:r>
      <w:r>
        <w:rPr>
          <w:rStyle w:val="17"/>
          <w:rFonts w:hint="eastAsia" w:ascii="Times New Roman" w:hAnsi="Times New Roman" w:eastAsia="仿宋" w:cs="Times New Roman"/>
          <w:kern w:val="2"/>
          <w:sz w:val="28"/>
          <w:szCs w:val="28"/>
          <w:lang w:val="en-US" w:eastAsia="zh-CN" w:bidi="ar-SA"/>
        </w:rPr>
        <w:t>1</w:t>
      </w:r>
    </w:p>
    <w:p>
      <w:pPr>
        <w:pStyle w:val="12"/>
        <w:rPr>
          <w:rStyle w:val="17"/>
          <w:rFonts w:hint="eastAsia"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"_Toc15396605"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三、支出决算情况说明</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t>1</w:t>
      </w:r>
      <w:r>
        <w:rPr>
          <w:rStyle w:val="17"/>
          <w:rFonts w:hint="default" w:ascii="Times New Roman" w:hAnsi="Times New Roman" w:eastAsia="仿宋" w:cs="Times New Roman"/>
          <w:kern w:val="2"/>
          <w:sz w:val="28"/>
          <w:szCs w:val="28"/>
          <w:lang w:val="en-US" w:eastAsia="zh-CN" w:bidi="ar-SA"/>
        </w:rPr>
        <w:fldChar w:fldCharType="end"/>
      </w:r>
      <w:r>
        <w:rPr>
          <w:rStyle w:val="17"/>
          <w:rFonts w:hint="eastAsia" w:ascii="Times New Roman" w:hAnsi="Times New Roman" w:eastAsia="仿宋" w:cs="Times New Roman"/>
          <w:kern w:val="2"/>
          <w:sz w:val="28"/>
          <w:szCs w:val="28"/>
          <w:lang w:val="en-US" w:eastAsia="zh-CN" w:bidi="ar-SA"/>
        </w:rPr>
        <w:t>2</w:t>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"_Toc15396606"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四、财政拨款收入支出决算总体情况说明</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t>1</w:t>
      </w:r>
      <w:r>
        <w:rPr>
          <w:rStyle w:val="17"/>
          <w:rFonts w:hint="eastAsia" w:ascii="Times New Roman" w:hAnsi="Times New Roman" w:eastAsia="仿宋" w:cs="Times New Roman"/>
          <w:kern w:val="2"/>
          <w:sz w:val="28"/>
          <w:szCs w:val="28"/>
          <w:lang w:val="en-US" w:eastAsia="zh-CN" w:bidi="ar-SA"/>
        </w:rPr>
        <w:t>2</w:t>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"_Toc15396607"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五、一般公共预算财政拨款支出决算情况说明</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t>1</w:t>
      </w:r>
      <w:r>
        <w:rPr>
          <w:rStyle w:val="17"/>
          <w:rFonts w:hint="eastAsia" w:ascii="Times New Roman" w:hAnsi="Times New Roman" w:eastAsia="仿宋" w:cs="Times New Roman"/>
          <w:kern w:val="2"/>
          <w:sz w:val="28"/>
          <w:szCs w:val="28"/>
          <w:lang w:val="en-US" w:eastAsia="zh-CN" w:bidi="ar-SA"/>
        </w:rPr>
        <w:t>3</w:t>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"_Toc15396608"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六、一般公共预算财政拨款基本支出决算情况说明</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t>16</w:t>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"_Toc15396609"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七、“三公”经费财政拨款支出决算情况说明</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t>1</w:t>
      </w:r>
      <w:r>
        <w:rPr>
          <w:rStyle w:val="17"/>
          <w:rFonts w:hint="eastAsia" w:ascii="Times New Roman" w:hAnsi="Times New Roman" w:eastAsia="仿宋" w:cs="Times New Roman"/>
          <w:kern w:val="2"/>
          <w:sz w:val="28"/>
          <w:szCs w:val="28"/>
          <w:lang w:val="en-US" w:eastAsia="zh-CN" w:bidi="ar-SA"/>
        </w:rPr>
        <w:t>7</w:t>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"_Toc15396610"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八、政府性基金预算支出决算情况说明</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t>19</w:t>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eastAsia"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"_Toc15396611"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九、 国有资本经营预算支出决算情况说明</w:t>
      </w:r>
      <w:r>
        <w:rPr>
          <w:rStyle w:val="17"/>
          <w:rFonts w:hint="default" w:ascii="Times New Roman" w:hAnsi="Times New Roman" w:eastAsia="仿宋" w:cs="Times New Roman"/>
          <w:kern w:val="2"/>
          <w:sz w:val="28"/>
          <w:szCs w:val="28"/>
          <w:lang w:val="en-US" w:eastAsia="zh-CN" w:bidi="ar-SA"/>
        </w:rPr>
        <w:tab/>
      </w:r>
      <w:r>
        <w:rPr>
          <w:rStyle w:val="17"/>
          <w:rFonts w:hint="eastAsia" w:ascii="Times New Roman" w:hAnsi="Times New Roman" w:eastAsia="仿宋" w:cs="Times New Roman"/>
          <w:kern w:val="2"/>
          <w:sz w:val="28"/>
          <w:szCs w:val="28"/>
          <w:lang w:val="en-US" w:eastAsia="zh-CN" w:bidi="ar-SA"/>
        </w:rPr>
        <w:t>2</w:t>
      </w:r>
      <w:r>
        <w:rPr>
          <w:rStyle w:val="17"/>
          <w:rFonts w:hint="default" w:ascii="Times New Roman" w:hAnsi="Times New Roman" w:eastAsia="仿宋" w:cs="Times New Roman"/>
          <w:kern w:val="2"/>
          <w:sz w:val="28"/>
          <w:szCs w:val="28"/>
          <w:lang w:val="en-US" w:eastAsia="zh-CN" w:bidi="ar-SA"/>
        </w:rPr>
        <w:fldChar w:fldCharType="end"/>
      </w:r>
      <w:r>
        <w:rPr>
          <w:rStyle w:val="17"/>
          <w:rFonts w:hint="eastAsia" w:ascii="Times New Roman" w:hAnsi="Times New Roman" w:eastAsia="仿宋" w:cs="Times New Roman"/>
          <w:kern w:val="2"/>
          <w:sz w:val="28"/>
          <w:szCs w:val="28"/>
          <w:lang w:val="en-US" w:eastAsia="zh-CN" w:bidi="ar-SA"/>
        </w:rPr>
        <w:t>0</w:t>
      </w:r>
    </w:p>
    <w:p>
      <w:pPr>
        <w:pStyle w:val="11"/>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"_Toc15396613"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第三部分 名词解释</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t>2</w:t>
      </w:r>
      <w:r>
        <w:rPr>
          <w:rStyle w:val="17"/>
          <w:rFonts w:hint="eastAsia" w:ascii="Times New Roman" w:hAnsi="Times New Roman" w:eastAsia="仿宋" w:cs="Times New Roman"/>
          <w:kern w:val="2"/>
          <w:sz w:val="28"/>
          <w:szCs w:val="28"/>
          <w:lang w:val="en-US" w:eastAsia="zh-CN" w:bidi="ar-SA"/>
        </w:rPr>
        <w:t>2</w:t>
      </w:r>
      <w:r>
        <w:rPr>
          <w:rStyle w:val="17"/>
          <w:rFonts w:hint="default" w:ascii="Times New Roman" w:hAnsi="Times New Roman" w:eastAsia="仿宋" w:cs="Times New Roman"/>
          <w:kern w:val="2"/>
          <w:sz w:val="28"/>
          <w:szCs w:val="28"/>
          <w:lang w:val="en-US" w:eastAsia="zh-CN" w:bidi="ar-SA"/>
        </w:rPr>
        <w:fldChar w:fldCharType="end"/>
      </w:r>
    </w:p>
    <w:p>
      <w:pPr>
        <w:pStyle w:val="11"/>
        <w:rPr>
          <w:rStyle w:val="17"/>
          <w:rFonts w:hint="eastAsia"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"_Toc15396614"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第四部分附件</w:t>
      </w:r>
      <w:r>
        <w:rPr>
          <w:rStyle w:val="17"/>
          <w:rFonts w:hint="default" w:ascii="Times New Roman" w:hAnsi="Times New Roman" w:eastAsia="仿宋" w:cs="Times New Roman"/>
          <w:kern w:val="2"/>
          <w:sz w:val="28"/>
          <w:szCs w:val="28"/>
          <w:lang w:val="en-US" w:eastAsia="zh-CN" w:bidi="ar-SA"/>
        </w:rPr>
        <w:tab/>
      </w:r>
      <w:r>
        <w:rPr>
          <w:rStyle w:val="17"/>
          <w:rFonts w:hint="eastAsia" w:ascii="Times New Roman" w:hAnsi="Times New Roman" w:eastAsia="仿宋" w:cs="Times New Roman"/>
          <w:kern w:val="2"/>
          <w:sz w:val="28"/>
          <w:szCs w:val="28"/>
          <w:lang w:val="en-US" w:eastAsia="zh-CN" w:bidi="ar-SA"/>
        </w:rPr>
        <w:t>2</w:t>
      </w:r>
      <w:r>
        <w:rPr>
          <w:rStyle w:val="17"/>
          <w:rFonts w:hint="default" w:ascii="Times New Roman" w:hAnsi="Times New Roman" w:eastAsia="仿宋" w:cs="Times New Roman"/>
          <w:kern w:val="2"/>
          <w:sz w:val="28"/>
          <w:szCs w:val="28"/>
          <w:lang w:val="en-US" w:eastAsia="zh-CN" w:bidi="ar-SA"/>
        </w:rPr>
        <w:fldChar w:fldCharType="end"/>
      </w:r>
      <w:r>
        <w:rPr>
          <w:rStyle w:val="17"/>
          <w:rFonts w:hint="eastAsia" w:ascii="Times New Roman" w:hAnsi="Times New Roman" w:eastAsia="仿宋" w:cs="Times New Roman"/>
          <w:kern w:val="2"/>
          <w:sz w:val="28"/>
          <w:szCs w:val="28"/>
          <w:lang w:val="en-US" w:eastAsia="zh-CN" w:bidi="ar-SA"/>
        </w:rPr>
        <w:t>5</w:t>
      </w:r>
    </w:p>
    <w:p>
      <w:pPr>
        <w:pStyle w:val="12"/>
        <w:adjustRightInd w:val="0"/>
        <w:snapToGrid w:val="0"/>
        <w:spacing w:line="440" w:lineRule="exact"/>
        <w:jc w:val="left"/>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附件1</w:t>
      </w:r>
      <w:r>
        <w:rPr>
          <w:rStyle w:val="17"/>
          <w:rFonts w:hint="default" w:ascii="Times New Roman" w:hAnsi="Times New Roman" w:eastAsia="仿宋" w:cs="Times New Roman"/>
          <w:kern w:val="2"/>
          <w:sz w:val="28"/>
          <w:szCs w:val="28"/>
          <w:lang w:val="en-US" w:eastAsia="zh-CN" w:bidi="ar-SA"/>
        </w:rPr>
        <w:tab/>
      </w:r>
      <w:r>
        <w:rPr>
          <w:rStyle w:val="17"/>
          <w:rFonts w:hint="eastAsia" w:ascii="Times New Roman" w:hAnsi="Times New Roman" w:eastAsia="仿宋" w:cs="Times New Roman"/>
          <w:kern w:val="2"/>
          <w:sz w:val="28"/>
          <w:szCs w:val="28"/>
          <w:lang w:val="en-US" w:eastAsia="zh-CN" w:bidi="ar-SA"/>
        </w:rPr>
        <w:t>25</w:t>
      </w:r>
    </w:p>
    <w:p>
      <w:pPr>
        <w:pStyle w:val="12"/>
        <w:adjustRightInd w:val="0"/>
        <w:snapToGrid w:val="0"/>
        <w:spacing w:line="440" w:lineRule="exact"/>
        <w:jc w:val="left"/>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附件2</w:t>
      </w:r>
      <w:r>
        <w:rPr>
          <w:rStyle w:val="17"/>
          <w:rFonts w:hint="default" w:ascii="Times New Roman" w:hAnsi="Times New Roman" w:eastAsia="仿宋" w:cs="Times New Roman"/>
          <w:kern w:val="2"/>
          <w:sz w:val="28"/>
          <w:szCs w:val="28"/>
          <w:lang w:val="en-US" w:eastAsia="zh-CN" w:bidi="ar-SA"/>
        </w:rPr>
        <w:tab/>
      </w:r>
      <w:r>
        <w:rPr>
          <w:rStyle w:val="17"/>
          <w:rFonts w:hint="eastAsia" w:ascii="Times New Roman" w:hAnsi="Times New Roman" w:eastAsia="仿宋" w:cs="Times New Roman"/>
          <w:kern w:val="2"/>
          <w:sz w:val="28"/>
          <w:szCs w:val="28"/>
          <w:lang w:val="en-US" w:eastAsia="zh-CN" w:bidi="ar-SA"/>
        </w:rPr>
        <w:t>34</w:t>
      </w:r>
    </w:p>
    <w:p>
      <w:pPr>
        <w:pStyle w:val="11"/>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"_Toc15396618"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第五部分附表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_Toc15396618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一、</w:t>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"_Toc15396619"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收入支出决算总表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_Toc15396618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二、</w:t>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"_Toc15396620"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收入决算表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_Toc15396618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三、</w:t>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"_Toc15396621"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支出决算表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_Toc15396618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四、</w:t>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"_Toc15396622"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财政拨款收入支出决算总表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_Toc15396618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五、</w:t>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"_Toc15396623"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财政拨款支出决算明细表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_Toc15396618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六、</w:t>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"_Toc15396624"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一般公共预算财政拨款支出决算表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_Toc15396618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七、</w:t>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"_Toc15396625"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一般公共预算财政拨款支出决算明细表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_Toc15396618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八、</w:t>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"_Toc15396626"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一般公共预算财政拨款基本支出决算表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_Toc15396618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九、</w:t>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"_Toc15396627"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一般公共预算财政拨款项目支出决算表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_Toc15396618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十、</w:t>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"_Toc15396628"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一般公共预算财政拨款“三公”经费支出决算表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_Toc15396618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十一、</w:t>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"_Toc15396629"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政府性基金预算财政拨款收入支出决算表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_Toc15396618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pStyle w:val="12"/>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十二、</w:t>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"_Toc15396630"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政府性基金预算财政拨款“三公”经费支出决算表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_Toc15396618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pStyle w:val="12"/>
        <w:adjustRightInd w:val="0"/>
        <w:snapToGrid w:val="0"/>
        <w:spacing w:line="440" w:lineRule="exact"/>
        <w:jc w:val="left"/>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HYPERLINK \l "_Toc15396631"</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十三、国有资本经营预算财政拨款收入支出决算表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_Toc15396619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p>
    <w:p>
      <w:pPr>
        <w:pStyle w:val="12"/>
        <w:adjustRightInd w:val="0"/>
        <w:snapToGrid w:val="0"/>
        <w:spacing w:line="440" w:lineRule="exact"/>
        <w:jc w:val="left"/>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t>十四、国有资本经营预算财政拨款支出决算表</w:t>
      </w:r>
      <w:r>
        <w:rPr>
          <w:rStyle w:val="17"/>
          <w:rFonts w:hint="default" w:ascii="Times New Roman" w:hAnsi="Times New Roman" w:eastAsia="仿宋" w:cs="Times New Roman"/>
          <w:kern w:val="2"/>
          <w:sz w:val="28"/>
          <w:szCs w:val="28"/>
          <w:lang w:val="en-US" w:eastAsia="zh-CN" w:bidi="ar-SA"/>
        </w:rPr>
        <w:tab/>
      </w:r>
      <w:r>
        <w:rPr>
          <w:rStyle w:val="17"/>
          <w:rFonts w:hint="default" w:ascii="Times New Roman" w:hAnsi="Times New Roman" w:eastAsia="仿宋" w:cs="Times New Roman"/>
          <w:kern w:val="2"/>
          <w:sz w:val="28"/>
          <w:szCs w:val="28"/>
          <w:lang w:val="en-US" w:eastAsia="zh-CN" w:bidi="ar-SA"/>
        </w:rPr>
        <w:fldChar w:fldCharType="begin"/>
      </w:r>
      <w:r>
        <w:rPr>
          <w:rStyle w:val="17"/>
          <w:rFonts w:hint="default" w:ascii="Times New Roman" w:hAnsi="Times New Roman" w:eastAsia="仿宋" w:cs="Times New Roman"/>
          <w:kern w:val="2"/>
          <w:sz w:val="28"/>
          <w:szCs w:val="28"/>
          <w:lang w:val="en-US" w:eastAsia="zh-CN" w:bidi="ar-SA"/>
        </w:rPr>
        <w:instrText xml:space="preserve"> PAGEREF _Toc15396619 \h </w:instrText>
      </w:r>
      <w:r>
        <w:rPr>
          <w:rStyle w:val="17"/>
          <w:rFonts w:hint="default" w:ascii="Times New Roman" w:hAnsi="Times New Roman" w:eastAsia="仿宋" w:cs="Times New Roman"/>
          <w:kern w:val="2"/>
          <w:sz w:val="28"/>
          <w:szCs w:val="28"/>
          <w:lang w:val="en-US" w:eastAsia="zh-CN" w:bidi="ar-SA"/>
        </w:rPr>
        <w:fldChar w:fldCharType="separate"/>
      </w:r>
      <w:r>
        <w:rPr>
          <w:rStyle w:val="17"/>
          <w:rFonts w:hint="default" w:ascii="Times New Roman" w:hAnsi="Times New Roman" w:eastAsia="仿宋" w:cs="Times New Roman"/>
          <w:kern w:val="2"/>
          <w:sz w:val="28"/>
          <w:szCs w:val="28"/>
          <w:lang w:val="en-US" w:eastAsia="zh-CN" w:bidi="ar-SA"/>
        </w:rPr>
        <w:t>39</w:t>
      </w:r>
      <w:r>
        <w:rPr>
          <w:rStyle w:val="17"/>
          <w:rFonts w:hint="default" w:ascii="Times New Roman" w:hAnsi="Times New Roman" w:eastAsia="仿宋" w:cs="Times New Roman"/>
          <w:kern w:val="2"/>
          <w:sz w:val="28"/>
          <w:szCs w:val="28"/>
          <w:lang w:val="en-US" w:eastAsia="zh-CN" w:bidi="ar-SA"/>
        </w:rPr>
        <w:fldChar w:fldCharType="end"/>
      </w:r>
      <w:r>
        <w:rPr>
          <w:rStyle w:val="17"/>
          <w:rFonts w:hint="default" w:ascii="Times New Roman" w:hAnsi="Times New Roman" w:eastAsia="仿宋" w:cs="Times New Roman"/>
          <w:kern w:val="2"/>
          <w:sz w:val="28"/>
          <w:szCs w:val="28"/>
          <w:lang w:val="en-US" w:eastAsia="zh-CN" w:bidi="ar-SA"/>
        </w:rPr>
        <w:fldChar w:fldCharType="end"/>
      </w:r>
    </w:p>
    <w:p>
      <w:pPr>
        <w:widowControl/>
        <w:jc w:val="center"/>
        <w:rPr>
          <w:rStyle w:val="17"/>
          <w:rFonts w:hint="default" w:ascii="Times New Roman" w:hAnsi="Times New Roman" w:eastAsia="仿宋" w:cs="Times New Roman"/>
          <w:kern w:val="2"/>
          <w:sz w:val="28"/>
          <w:szCs w:val="28"/>
          <w:lang w:val="en-US" w:eastAsia="zh-CN" w:bidi="ar-SA"/>
        </w:rPr>
      </w:pPr>
      <w:r>
        <w:rPr>
          <w:rStyle w:val="17"/>
          <w:rFonts w:hint="default" w:ascii="Times New Roman" w:hAnsi="Times New Roman" w:eastAsia="仿宋" w:cs="Times New Roman"/>
          <w:kern w:val="2"/>
          <w:sz w:val="28"/>
          <w:szCs w:val="28"/>
          <w:lang w:val="en-US" w:eastAsia="zh-CN" w:bidi="ar-SA"/>
        </w:rPr>
        <w:fldChar w:fldCharType="end"/>
      </w:r>
    </w:p>
    <w:p>
      <w:pPr>
        <w:widowControl/>
        <w:jc w:val="center"/>
        <w:rPr>
          <w:rFonts w:hint="default" w:ascii="Times New Roman" w:hAnsi="Times New Roman" w:eastAsia="方正小标宋简体" w:cs="Times New Roman"/>
          <w:sz w:val="36"/>
          <w:szCs w:val="36"/>
        </w:rPr>
      </w:pPr>
    </w:p>
    <w:p>
      <w:pPr>
        <w:widowControl/>
        <w:jc w:val="center"/>
        <w:rPr>
          <w:rFonts w:hint="default" w:ascii="Times New Roman" w:hAnsi="Times New Roman" w:eastAsia="方正小标宋简体" w:cs="Times New Roman"/>
          <w:sz w:val="36"/>
          <w:szCs w:val="36"/>
        </w:rPr>
      </w:pPr>
    </w:p>
    <w:p>
      <w:pPr>
        <w:widowControl/>
        <w:jc w:val="center"/>
        <w:rPr>
          <w:rFonts w:hint="default" w:ascii="Times New Roman" w:hAnsi="Times New Roman" w:eastAsia="方正小标宋简体" w:cs="Times New Roman"/>
          <w:sz w:val="36"/>
          <w:szCs w:val="36"/>
        </w:rPr>
      </w:pPr>
    </w:p>
    <w:p>
      <w:pPr>
        <w:widowControl/>
        <w:jc w:val="center"/>
        <w:rPr>
          <w:rFonts w:hint="default" w:ascii="Times New Roman" w:hAnsi="Times New Roman" w:eastAsia="方正小标宋简体" w:cs="Times New Roman"/>
          <w:sz w:val="36"/>
          <w:szCs w:val="36"/>
        </w:rPr>
      </w:pPr>
    </w:p>
    <w:p>
      <w:pPr>
        <w:widowControl/>
        <w:jc w:val="center"/>
        <w:rPr>
          <w:rFonts w:hint="default" w:ascii="Times New Roman" w:hAnsi="Times New Roman" w:eastAsia="方正小标宋简体" w:cs="Times New Roman"/>
          <w:sz w:val="36"/>
          <w:szCs w:val="36"/>
        </w:rPr>
      </w:pPr>
    </w:p>
    <w:p>
      <w:pPr>
        <w:pStyle w:val="3"/>
        <w:rPr>
          <w:rFonts w:hint="default" w:ascii="Times New Roman" w:hAnsi="Times New Roman" w:eastAsia="黑体" w:cs="Times New Roman"/>
          <w:b w:val="0"/>
        </w:rPr>
      </w:pPr>
      <w:bookmarkStart w:id="12" w:name="_Toc15378446"/>
      <w:bookmarkStart w:id="13" w:name="_Toc15377199"/>
    </w:p>
    <w:p>
      <w:pPr>
        <w:rPr>
          <w:rFonts w:hint="default" w:ascii="Times New Roman" w:hAnsi="Times New Roman" w:cs="Times New Roman"/>
        </w:rPr>
      </w:pPr>
    </w:p>
    <w:p>
      <w:pPr>
        <w:pStyle w:val="3"/>
        <w:jc w:val="center"/>
        <w:rPr>
          <w:rStyle w:val="32"/>
          <w:rFonts w:hint="default" w:ascii="Times New Roman" w:hAnsi="Times New Roman" w:eastAsia="黑体" w:cs="Times New Roman"/>
          <w:b/>
          <w:bCs w:val="0"/>
        </w:rPr>
      </w:pPr>
      <w:r>
        <w:rPr>
          <w:rFonts w:hint="default" w:ascii="Times New Roman" w:hAnsi="Times New Roman" w:eastAsia="黑体" w:cs="Times New Roman"/>
          <w:b w:val="0"/>
        </w:rPr>
        <w:t xml:space="preserve">第一部分 </w:t>
      </w:r>
      <w:r>
        <w:rPr>
          <w:rStyle w:val="32"/>
          <w:rFonts w:hint="default" w:ascii="Times New Roman" w:hAnsi="Times New Roman" w:eastAsia="黑体" w:cs="Times New Roman"/>
          <w:b w:val="0"/>
          <w:bCs w:val="0"/>
        </w:rPr>
        <w:t>部门概况</w:t>
      </w:r>
    </w:p>
    <w:p>
      <w:pPr>
        <w:widowControl/>
        <w:jc w:val="left"/>
        <w:rPr>
          <w:rFonts w:hint="default" w:ascii="Times New Roman" w:hAnsi="Times New Roman" w:eastAsia="黑体" w:cs="Times New Roman"/>
          <w:color w:val="000000"/>
          <w:sz w:val="32"/>
          <w:szCs w:val="32"/>
        </w:rPr>
      </w:pPr>
    </w:p>
    <w:p>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Times New Roman" w:eastAsia="仿宋_GB2312" w:cs="Times New Roman"/>
          <w:kern w:val="0"/>
          <w:sz w:val="32"/>
          <w:szCs w:val="32"/>
          <w:lang w:val="en-US" w:eastAsia="zh-CN" w:bidi="ar-SA"/>
        </w:rPr>
      </w:pPr>
      <w:r>
        <w:rPr>
          <w:rFonts w:hint="eastAsia" w:ascii="黑体" w:hAnsi="黑体" w:eastAsia="黑体"/>
          <w:b w:val="0"/>
          <w:color w:val="000000"/>
          <w:lang w:val="en-US" w:eastAsia="zh-CN"/>
        </w:rPr>
        <w:t>一、职能简介</w:t>
      </w:r>
    </w:p>
    <w:p>
      <w:pPr>
        <w:pStyle w:val="4"/>
        <w:keepNext/>
        <w:keepLines/>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Times New Roman" w:eastAsia="仿宋_GB2312" w:cs="Times New Roman"/>
          <w:b w:val="0"/>
          <w:bCs w:val="0"/>
          <w:kern w:val="0"/>
          <w:sz w:val="32"/>
          <w:szCs w:val="32"/>
          <w:lang w:val="en-US" w:eastAsia="zh-CN" w:bidi="ar-SA"/>
        </w:rPr>
      </w:pPr>
      <w:r>
        <w:rPr>
          <w:rFonts w:hint="eastAsia" w:ascii="仿宋_GB2312" w:hAnsi="Times New Roman" w:eastAsia="仿宋_GB2312" w:cs="Times New Roman"/>
          <w:b w:val="0"/>
          <w:bCs w:val="0"/>
          <w:kern w:val="0"/>
          <w:sz w:val="32"/>
          <w:szCs w:val="32"/>
          <w:lang w:val="en-US" w:eastAsia="zh-CN" w:bidi="ar-SA"/>
        </w:rPr>
        <w:t>省社科联是中共四川省委领导下的学术性群众团体，是党和政府联系广大哲学社会科学工作者的桥梁和纽带。主要职责是：</w:t>
      </w:r>
    </w:p>
    <w:p>
      <w:pPr>
        <w:pStyle w:val="2"/>
        <w:adjustRightInd w:val="0"/>
        <w:snapToGrid w:val="0"/>
        <w:spacing w:before="93"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团结和组织全省社会科学工作者坚持以习近平新时代中国特色社会主义思想为指导，坚决维护以习近平同志为核心的党中央权威和集中统一领导，坚决贯彻党的路线、方针、政策，巩固马克思主义在意识形态领域的指导地位。</w:t>
      </w:r>
    </w:p>
    <w:p>
      <w:pPr>
        <w:pStyle w:val="2"/>
        <w:adjustRightInd w:val="0"/>
        <w:snapToGrid w:val="0"/>
        <w:spacing w:before="93"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2.组织全省社会科学工作者围绕中心、服务大局，为党委、政府的科学决策提供咨询服务。</w:t>
      </w:r>
    </w:p>
    <w:p>
      <w:pPr>
        <w:pStyle w:val="2"/>
        <w:adjustRightInd w:val="0"/>
        <w:snapToGrid w:val="0"/>
        <w:spacing w:before="93"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3.编制全省社会科学课题规划，管理全省社会科学规划项目，负责我省国家社科基金项目的申报和管理工作。</w:t>
      </w:r>
    </w:p>
    <w:p>
      <w:pPr>
        <w:pStyle w:val="2"/>
        <w:adjustRightInd w:val="0"/>
        <w:snapToGrid w:val="0"/>
        <w:spacing w:before="93"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4.承担省政府社会科学优秀成果评奖工作，安排部分获奖成果的出版、宣传、推广工作。</w:t>
      </w:r>
    </w:p>
    <w:p>
      <w:pPr>
        <w:pStyle w:val="2"/>
        <w:adjustRightInd w:val="0"/>
        <w:snapToGrid w:val="0"/>
        <w:spacing w:before="93"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w:t>
      </w:r>
      <w:r>
        <w:rPr>
          <w:rFonts w:hint="default" w:ascii="Times New Roman" w:hAnsi="Times New Roman" w:cs="Times New Roman"/>
          <w:sz w:val="32"/>
          <w:szCs w:val="32"/>
          <w:lang w:val="en-US" w:eastAsia="zh-CN"/>
        </w:rPr>
        <w:t>业务</w:t>
      </w:r>
      <w:r>
        <w:rPr>
          <w:rFonts w:hint="default" w:ascii="Times New Roman" w:hAnsi="Times New Roman" w:cs="Times New Roman"/>
          <w:sz w:val="32"/>
          <w:szCs w:val="32"/>
        </w:rPr>
        <w:t>指导全省性社会科学社会团体、市州社科联、高校社科联、民办社科研究机构。</w:t>
      </w:r>
    </w:p>
    <w:p>
      <w:pPr>
        <w:pStyle w:val="2"/>
        <w:adjustRightInd w:val="0"/>
        <w:snapToGrid w:val="0"/>
        <w:spacing w:before="93"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6.组织开展学术交流、调查研究、决策咨询等活动，编辑出版社会科学类书刊及相关资料，资助部分社会科学著作的出版</w:t>
      </w:r>
      <w:r>
        <w:rPr>
          <w:rFonts w:hint="eastAsia" w:ascii="Times New Roman" w:cs="Times New Roman"/>
          <w:sz w:val="32"/>
          <w:szCs w:val="32"/>
          <w:lang w:eastAsia="zh-CN"/>
        </w:rPr>
        <w:t>。</w:t>
      </w:r>
      <w:r>
        <w:rPr>
          <w:rFonts w:hint="default" w:ascii="Times New Roman" w:hAnsi="Times New Roman" w:cs="Times New Roman"/>
          <w:sz w:val="32"/>
          <w:szCs w:val="32"/>
        </w:rPr>
        <w:t xml:space="preserve"> </w:t>
      </w:r>
    </w:p>
    <w:p>
      <w:pPr>
        <w:pStyle w:val="2"/>
        <w:adjustRightInd w:val="0"/>
        <w:snapToGrid w:val="0"/>
        <w:spacing w:before="93"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7.组织开展理论研究，推动和资助学科发展，扶持、培养优秀社会科学人才。</w:t>
      </w:r>
    </w:p>
    <w:p>
      <w:pPr>
        <w:pStyle w:val="2"/>
        <w:adjustRightInd w:val="0"/>
        <w:snapToGrid w:val="0"/>
        <w:spacing w:before="93"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8.依照《四川省科学技术普及条例》，编制全省社会科学普及规划，组织开展社会科学普及工作。</w:t>
      </w:r>
    </w:p>
    <w:p>
      <w:pPr>
        <w:pStyle w:val="2"/>
        <w:adjustRightInd w:val="0"/>
        <w:snapToGrid w:val="0"/>
        <w:spacing w:before="93"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9.指导和资助四川省社会科学重点研究基地和社会科学普及基地建设，开展学术研究和应用对策研究。</w:t>
      </w:r>
    </w:p>
    <w:p>
      <w:pPr>
        <w:pStyle w:val="2"/>
        <w:adjustRightInd w:val="0"/>
        <w:snapToGrid w:val="0"/>
        <w:spacing w:before="93"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10.参与推荐社会科学学术技术带头人</w:t>
      </w:r>
      <w:r>
        <w:rPr>
          <w:rFonts w:hint="eastAsia" w:ascii="Times New Roman" w:cs="Times New Roman"/>
          <w:sz w:val="32"/>
          <w:szCs w:val="32"/>
          <w:lang w:val="en-US" w:eastAsia="zh-CN"/>
        </w:rPr>
        <w:t>等</w:t>
      </w:r>
      <w:r>
        <w:rPr>
          <w:rFonts w:hint="default" w:ascii="Times New Roman" w:hAnsi="Times New Roman" w:cs="Times New Roman"/>
          <w:sz w:val="32"/>
          <w:szCs w:val="32"/>
        </w:rPr>
        <w:t>工作。</w:t>
      </w:r>
    </w:p>
    <w:p>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auto"/>
          <w:sz w:val="32"/>
          <w:szCs w:val="32"/>
        </w:rPr>
      </w:pPr>
      <w:r>
        <w:rPr>
          <w:rFonts w:hint="eastAsia" w:ascii="Times New Roman" w:hAnsi="Times New Roman" w:eastAsia="黑体" w:cs="Times New Roman"/>
          <w:kern w:val="2"/>
          <w:sz w:val="32"/>
          <w:szCs w:val="32"/>
          <w:lang w:val="en-US" w:eastAsia="zh-CN" w:bidi="ar-SA"/>
        </w:rPr>
        <w:t>二、</w:t>
      </w:r>
      <w:r>
        <w:rPr>
          <w:rFonts w:hint="default" w:ascii="Times New Roman" w:hAnsi="Times New Roman" w:eastAsia="黑体" w:cs="Times New Roman"/>
          <w:kern w:val="2"/>
          <w:sz w:val="32"/>
          <w:szCs w:val="32"/>
          <w:lang w:val="en-US" w:eastAsia="zh-CN" w:bidi="ar-SA"/>
        </w:rPr>
        <w:t>2021年重点工作完成情况</w:t>
      </w:r>
      <w:bookmarkEnd w:id="12"/>
      <w:bookmarkEnd w:id="13"/>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bookmarkStart w:id="14" w:name="_Toc15377204"/>
      <w:bookmarkStart w:id="15" w:name="_Toc15396602"/>
      <w:r>
        <w:rPr>
          <w:rFonts w:hint="default"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坚持党的领导，牢牢把握正确的政治方向</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rPr>
        <w:t>坚持把党的领导贯穿到哲学社会科学工作的全领域、全过程，</w:t>
      </w:r>
      <w:r>
        <w:rPr>
          <w:rFonts w:hint="default" w:ascii="Times New Roman" w:hAnsi="Times New Roman" w:eastAsia="仿宋_GB2312" w:cs="Times New Roman"/>
          <w:kern w:val="0"/>
          <w:sz w:val="32"/>
          <w:szCs w:val="32"/>
        </w:rPr>
        <w:t>充分发挥导向引领作用，</w:t>
      </w:r>
      <w:r>
        <w:rPr>
          <w:rFonts w:hint="default" w:ascii="Times New Roman" w:hAnsi="Times New Roman" w:eastAsia="仿宋_GB2312" w:cs="Times New Roman"/>
          <w:kern w:val="0"/>
          <w:sz w:val="32"/>
          <w:szCs w:val="32"/>
          <w:lang w:eastAsia="zh-CN"/>
        </w:rPr>
        <w:t>确保哲学社会科学始终沿着正确政治方向前行。</w:t>
      </w:r>
      <w:r>
        <w:rPr>
          <w:rFonts w:hint="default" w:ascii="Times New Roman" w:hAnsi="Times New Roman" w:eastAsia="楷体_GB2312" w:cs="Times New Roman"/>
          <w:b w:val="0"/>
          <w:bCs w:val="0"/>
          <w:sz w:val="32"/>
          <w:szCs w:val="32"/>
          <w:lang w:eastAsia="zh-CN"/>
        </w:rPr>
        <w:t>一是</w:t>
      </w:r>
      <w:r>
        <w:rPr>
          <w:rFonts w:hint="default" w:ascii="Times New Roman" w:hAnsi="Times New Roman" w:eastAsia="楷体_GB2312" w:cs="Times New Roman"/>
          <w:b w:val="0"/>
          <w:bCs w:val="0"/>
          <w:sz w:val="32"/>
          <w:szCs w:val="32"/>
        </w:rPr>
        <w:t>持续</w:t>
      </w:r>
      <w:r>
        <w:rPr>
          <w:rFonts w:hint="default" w:ascii="Times New Roman" w:hAnsi="Times New Roman" w:eastAsia="楷体_GB2312" w:cs="Times New Roman"/>
          <w:b w:val="0"/>
          <w:bCs w:val="0"/>
          <w:sz w:val="32"/>
          <w:szCs w:val="32"/>
          <w:lang w:eastAsia="zh-CN"/>
        </w:rPr>
        <w:t>学习贯彻</w:t>
      </w:r>
      <w:r>
        <w:rPr>
          <w:rFonts w:hint="default" w:ascii="Times New Roman" w:hAnsi="Times New Roman" w:eastAsia="楷体_GB2312" w:cs="Times New Roman"/>
          <w:b w:val="0"/>
          <w:bCs w:val="0"/>
          <w:sz w:val="32"/>
          <w:szCs w:val="32"/>
        </w:rPr>
        <w:t>习近平新时代中国特色社会主义思想</w:t>
      </w:r>
      <w:r>
        <w:rPr>
          <w:rFonts w:hint="default" w:ascii="Times New Roman" w:hAnsi="Times New Roman" w:eastAsia="楷体_GB2312" w:cs="Times New Roman"/>
          <w:b w:val="0"/>
          <w:bCs w:val="0"/>
          <w:sz w:val="32"/>
          <w:szCs w:val="32"/>
          <w:lang w:eastAsia="zh-CN"/>
        </w:rPr>
        <w:t>，认真学习宣传贯彻党的十九届五中、六中全会精神</w:t>
      </w:r>
      <w:r>
        <w:rPr>
          <w:rFonts w:hint="default" w:ascii="Times New Roman" w:hAnsi="Times New Roman" w:eastAsia="楷体_GB2312" w:cs="Times New Roman"/>
          <w:b w:val="0"/>
          <w:bCs w:val="0"/>
          <w:sz w:val="32"/>
          <w:szCs w:val="32"/>
        </w:rPr>
        <w:t>。</w:t>
      </w:r>
      <w:r>
        <w:rPr>
          <w:rFonts w:hint="default" w:ascii="Times New Roman" w:hAnsi="Times New Roman" w:eastAsia="仿宋_GB2312" w:cs="Times New Roman"/>
          <w:sz w:val="32"/>
          <w:szCs w:val="32"/>
        </w:rPr>
        <w:t>组织全省社科界分层分级持续深入学习贯彻习近平新时代中国特色社会主义思想，认真学习宣传贯彻党的十九届五中、六中全会精神，</w:t>
      </w:r>
      <w:r>
        <w:rPr>
          <w:rFonts w:hint="default" w:ascii="Times New Roman" w:hAnsi="Times New Roman" w:eastAsia="仿宋_GB2312" w:cs="Times New Roman"/>
          <w:sz w:val="32"/>
          <w:szCs w:val="32"/>
          <w:lang w:eastAsia="zh-CN"/>
        </w:rPr>
        <w:t>教育引导社科工作者深刻领会“两个确立”对新时代党和国家事业发展、对推进中华民族伟大复兴历史进程所具有的决定性意义，切实提高政治判断力、政治领悟力、政治执行力，做“两个确立”的坚决拥护者和“两个维护”的坚定践行者。</w:t>
      </w:r>
      <w:r>
        <w:rPr>
          <w:rFonts w:hint="default" w:ascii="Times New Roman" w:hAnsi="Times New Roman" w:eastAsia="仿宋_GB2312" w:cs="Times New Roman"/>
          <w:sz w:val="32"/>
          <w:szCs w:val="32"/>
        </w:rPr>
        <w:t>按照中央、省委统一部署，组织发动各级社科组织根据不同受众，分层分类开展宣传宣讲，将党的创新理论和中省重大决策部署更广泛地送达基层。同时，认真组织学习习近平总书记给《文史哲》编辑部回信，省委十一届</w:t>
      </w:r>
      <w:r>
        <w:rPr>
          <w:rFonts w:hint="default" w:ascii="Times New Roman" w:hAnsi="Times New Roman" w:eastAsia="仿宋_GB2312" w:cs="Times New Roman"/>
          <w:sz w:val="32"/>
          <w:szCs w:val="32"/>
          <w:lang w:eastAsia="zh-CN"/>
        </w:rPr>
        <w:t>九次、十次</w:t>
      </w:r>
      <w:r>
        <w:rPr>
          <w:rFonts w:hint="default" w:ascii="Times New Roman" w:hAnsi="Times New Roman" w:eastAsia="仿宋_GB2312" w:cs="Times New Roman"/>
          <w:sz w:val="32"/>
          <w:szCs w:val="32"/>
        </w:rPr>
        <w:t>全会精神，中、省宣传思想工作会议等重要会议精神。</w:t>
      </w:r>
      <w:r>
        <w:rPr>
          <w:rFonts w:hint="default" w:ascii="Times New Roman" w:hAnsi="Times New Roman" w:eastAsia="楷体_GB2312" w:cs="Times New Roman"/>
          <w:b w:val="0"/>
          <w:bCs/>
          <w:sz w:val="32"/>
          <w:szCs w:val="32"/>
          <w:lang w:eastAsia="zh-CN"/>
        </w:rPr>
        <w:t>二是</w:t>
      </w:r>
      <w:r>
        <w:rPr>
          <w:rFonts w:hint="default" w:ascii="Times New Roman" w:hAnsi="Times New Roman" w:eastAsia="楷体_GB2312" w:cs="Times New Roman"/>
          <w:b w:val="0"/>
          <w:bCs/>
          <w:sz w:val="32"/>
          <w:szCs w:val="32"/>
        </w:rPr>
        <w:t>持续压紧压实意识形态工作责任。</w:t>
      </w:r>
      <w:r>
        <w:rPr>
          <w:rFonts w:hint="default" w:ascii="Times New Roman" w:hAnsi="Times New Roman" w:eastAsia="仿宋_GB2312" w:cs="Times New Roman"/>
          <w:sz w:val="32"/>
          <w:szCs w:val="32"/>
        </w:rPr>
        <w:t>坚持“守土有责、守土负责、守土尽责”，把意识形态工作与业务工作同部署、同落实、同检查，强化抓早抓小、实行动态管理，全省社科界意识形态领域形势总体平稳。</w:t>
      </w:r>
      <w:r>
        <w:rPr>
          <w:rFonts w:hint="default" w:ascii="Times New Roman" w:hAnsi="Times New Roman" w:eastAsia="楷体_GB2312" w:cs="Times New Roman"/>
          <w:b w:val="0"/>
          <w:bCs/>
          <w:sz w:val="32"/>
          <w:szCs w:val="32"/>
          <w:lang w:eastAsia="zh-CN"/>
        </w:rPr>
        <w:t>三是</w:t>
      </w:r>
      <w:r>
        <w:rPr>
          <w:rFonts w:hint="default" w:ascii="Times New Roman" w:hAnsi="Times New Roman" w:eastAsia="楷体_GB2312" w:cs="Times New Roman"/>
          <w:b w:val="0"/>
          <w:bCs/>
          <w:sz w:val="32"/>
          <w:szCs w:val="32"/>
        </w:rPr>
        <w:t>持续推进社科组织党的建设。</w:t>
      </w:r>
      <w:r>
        <w:rPr>
          <w:rFonts w:hint="default" w:ascii="Times New Roman" w:hAnsi="Times New Roman" w:eastAsia="仿宋_GB2312" w:cs="Times New Roman"/>
          <w:spacing w:val="-4"/>
          <w:sz w:val="32"/>
          <w:szCs w:val="32"/>
        </w:rPr>
        <w:t>制定《省社科联社会组织联合党委2021年“两个覆盖”集中攻坚</w:t>
      </w:r>
      <w:r>
        <w:rPr>
          <w:rFonts w:hint="default" w:ascii="Times New Roman" w:hAnsi="Times New Roman" w:eastAsia="仿宋_GB2312" w:cs="Times New Roman"/>
          <w:sz w:val="32"/>
          <w:szCs w:val="32"/>
        </w:rPr>
        <w:t>实施方案》，完成11家社科组织党支部换届改选，</w:t>
      </w:r>
      <w:r>
        <w:rPr>
          <w:rFonts w:hint="default" w:ascii="Times New Roman" w:hAnsi="Times New Roman" w:eastAsia="仿宋_GB2312" w:cs="Times New Roman"/>
          <w:sz w:val="32"/>
          <w:szCs w:val="32"/>
          <w:lang w:eastAsia="zh-CN"/>
        </w:rPr>
        <w:t>新</w:t>
      </w:r>
      <w:r>
        <w:rPr>
          <w:rFonts w:hint="default" w:ascii="Times New Roman" w:hAnsi="Times New Roman" w:eastAsia="仿宋_GB2312" w:cs="Times New Roman"/>
          <w:b w:val="0"/>
          <w:bCs w:val="0"/>
          <w:spacing w:val="-4"/>
          <w:sz w:val="32"/>
          <w:szCs w:val="32"/>
        </w:rPr>
        <w:t>培育辅导</w:t>
      </w:r>
      <w:r>
        <w:rPr>
          <w:rFonts w:hint="default" w:ascii="Times New Roman" w:hAnsi="Times New Roman" w:eastAsia="仿宋_GB2312" w:cs="Times New Roman"/>
          <w:b w:val="0"/>
          <w:bCs w:val="0"/>
          <w:spacing w:val="-4"/>
          <w:sz w:val="32"/>
          <w:szCs w:val="32"/>
          <w:lang w:val="en-US" w:eastAsia="zh-CN"/>
        </w:rPr>
        <w:t>4</w:t>
      </w:r>
      <w:r>
        <w:rPr>
          <w:rFonts w:hint="default" w:ascii="Times New Roman" w:hAnsi="Times New Roman" w:eastAsia="仿宋_GB2312" w:cs="Times New Roman"/>
          <w:b w:val="0"/>
          <w:bCs w:val="0"/>
          <w:spacing w:val="-4"/>
          <w:sz w:val="32"/>
          <w:szCs w:val="32"/>
        </w:rPr>
        <w:t>家</w:t>
      </w:r>
      <w:r>
        <w:rPr>
          <w:rFonts w:hint="default" w:ascii="Times New Roman" w:hAnsi="Times New Roman" w:eastAsia="仿宋_GB2312" w:cs="Times New Roman"/>
          <w:spacing w:val="-4"/>
          <w:sz w:val="32"/>
          <w:szCs w:val="32"/>
        </w:rPr>
        <w:t>社科组织成立党支部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bCs/>
          <w:spacing w:val="-4"/>
          <w:sz w:val="32"/>
          <w:szCs w:val="32"/>
        </w:rPr>
      </w:pPr>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以“学习百年党史，坚定‘四个自信’，贡献社科力量”为抓手，扎实推进党史学习教育</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bCs/>
          <w:spacing w:val="-4"/>
          <w:sz w:val="32"/>
          <w:szCs w:val="32"/>
        </w:rPr>
        <w:t>认真贯彻落实中央和省委党史学习教育部署，第一时间学习传达习近平总书记在党史学习教育动员大会上的重要讲话精神，结合社科实际，以“学习百年党史，坚定‘四个自信’，贡献社科力量”为统揽，</w:t>
      </w:r>
      <w:r>
        <w:rPr>
          <w:rFonts w:hint="default" w:ascii="Times New Roman" w:hAnsi="Times New Roman" w:eastAsia="仿宋_GB2312" w:cs="Times New Roman"/>
          <w:bCs/>
          <w:sz w:val="32"/>
          <w:szCs w:val="32"/>
        </w:rPr>
        <w:t>突出学党史、悟思想、办实事、开新局，</w:t>
      </w:r>
      <w:r>
        <w:rPr>
          <w:rFonts w:hint="default" w:ascii="Times New Roman" w:hAnsi="Times New Roman" w:eastAsia="仿宋_GB2312" w:cs="Times New Roman"/>
          <w:bCs/>
          <w:spacing w:val="-4"/>
          <w:sz w:val="32"/>
          <w:szCs w:val="32"/>
        </w:rPr>
        <w:t>扎实推进省社科联机关和所属社会组织党史学习教育。</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按照中央、省委统一部署，积极开展庆祝建党100周年活动</w:t>
      </w:r>
      <w:r>
        <w:rPr>
          <w:rFonts w:hint="default" w:ascii="Times New Roman" w:hAnsi="Times New Roman" w:eastAsia="黑体" w:cs="Times New Roman"/>
          <w:sz w:val="32"/>
          <w:szCs w:val="32"/>
          <w:lang w:eastAsia="zh-CN"/>
        </w:rPr>
        <w:t>。</w:t>
      </w:r>
      <w:r>
        <w:rPr>
          <w:rFonts w:hint="default" w:ascii="Times New Roman" w:hAnsi="Times New Roman" w:eastAsia="楷体_GB2312" w:cs="Times New Roman"/>
          <w:b w:val="0"/>
          <w:bCs w:val="0"/>
          <w:spacing w:val="-4"/>
          <w:sz w:val="32"/>
          <w:szCs w:val="32"/>
        </w:rPr>
        <w:t>一是</w:t>
      </w:r>
      <w:r>
        <w:rPr>
          <w:rFonts w:hint="default" w:ascii="Times New Roman" w:hAnsi="Times New Roman" w:eastAsia="仿宋_GB2312" w:cs="Times New Roman"/>
          <w:sz w:val="32"/>
          <w:szCs w:val="32"/>
        </w:rPr>
        <w:t>深入学习习近平总书记</w:t>
      </w:r>
      <w:r>
        <w:rPr>
          <w:rFonts w:hint="default" w:ascii="Times New Roman" w:hAnsi="Times New Roman" w:eastAsia="仿宋_GB2312" w:cs="Times New Roman"/>
          <w:sz w:val="32"/>
          <w:szCs w:val="32"/>
          <w:lang w:eastAsia="zh-CN"/>
        </w:rPr>
        <w:t>“七一”</w:t>
      </w:r>
      <w:r>
        <w:rPr>
          <w:rFonts w:hint="default" w:ascii="Times New Roman" w:hAnsi="Times New Roman" w:eastAsia="仿宋_GB2312" w:cs="Times New Roman"/>
          <w:sz w:val="32"/>
          <w:szCs w:val="32"/>
        </w:rPr>
        <w:t>重要讲话精神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坚持党组带头学，召开社科联主席办公会专题研学，积极组织发动全省社科界学，全覆盖推动各级社科组织、社科工作者深入学习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全省各级社科组织举办学习贯彻落实习近平总书记“七一”重要讲话精神等相关理论研讨会200余场次。</w:t>
      </w:r>
      <w:r>
        <w:rPr>
          <w:rFonts w:hint="default" w:ascii="Times New Roman" w:hAnsi="Times New Roman" w:eastAsia="楷体_GB2312" w:cs="Times New Roman"/>
          <w:b w:val="0"/>
          <w:bCs w:val="0"/>
          <w:sz w:val="32"/>
          <w:szCs w:val="32"/>
        </w:rPr>
        <w:t>二是</w:t>
      </w:r>
      <w:r>
        <w:rPr>
          <w:rFonts w:hint="default" w:ascii="Times New Roman" w:hAnsi="Times New Roman" w:eastAsia="仿宋_GB2312" w:cs="Times New Roman"/>
          <w:spacing w:val="-4"/>
          <w:sz w:val="32"/>
          <w:szCs w:val="32"/>
        </w:rPr>
        <w:t>参与承办了省委宣传部主办的四川省庆祝中国共产党成立100周年理论研讨会，汇编形成了《四川省庆祝中国共产党成立100周年理论研讨会论文集》。</w:t>
      </w:r>
      <w:r>
        <w:rPr>
          <w:rFonts w:hint="default" w:ascii="Times New Roman" w:hAnsi="Times New Roman" w:eastAsia="楷体_GB2312" w:cs="Times New Roman"/>
          <w:b w:val="0"/>
          <w:bCs w:val="0"/>
          <w:sz w:val="32"/>
          <w:szCs w:val="32"/>
          <w:lang w:eastAsia="zh-CN"/>
        </w:rPr>
        <w:t>三是</w:t>
      </w:r>
      <w:r>
        <w:rPr>
          <w:rFonts w:hint="default" w:ascii="Times New Roman" w:hAnsi="Times New Roman" w:eastAsia="仿宋_GB2312" w:cs="Times New Roman"/>
          <w:sz w:val="32"/>
          <w:szCs w:val="32"/>
        </w:rPr>
        <w:t>牵头策划和组织知名专家，编撰5卷本、150多万字的《奋力书写时代答卷 以新发展理念推动治蜀兴川》系列丛书</w:t>
      </w:r>
      <w:r>
        <w:rPr>
          <w:rFonts w:hint="default" w:ascii="Times New Roman" w:hAnsi="Times New Roman" w:eastAsia="仿宋_GB2312" w:cs="Times New Roman"/>
          <w:sz w:val="32"/>
          <w:szCs w:val="32"/>
          <w:lang w:eastAsia="zh-CN"/>
        </w:rPr>
        <w:t>，呈现了省委省政府团结带领全川人民在</w:t>
      </w:r>
      <w:r>
        <w:rPr>
          <w:rFonts w:hint="default" w:ascii="Times New Roman" w:hAnsi="Times New Roman" w:eastAsia="仿宋_GB2312" w:cs="Times New Roman"/>
          <w:sz w:val="32"/>
          <w:szCs w:val="32"/>
        </w:rPr>
        <w:t>治蜀兴川</w:t>
      </w:r>
      <w:r>
        <w:rPr>
          <w:rFonts w:hint="default" w:ascii="Times New Roman" w:hAnsi="Times New Roman" w:eastAsia="仿宋_GB2312" w:cs="Times New Roman"/>
          <w:sz w:val="32"/>
          <w:szCs w:val="32"/>
          <w:lang w:eastAsia="zh-CN"/>
        </w:rPr>
        <w:t>的伟大实践中奋力书写的时代答卷和取得的重大成就</w:t>
      </w:r>
      <w:r>
        <w:rPr>
          <w:rFonts w:hint="default" w:ascii="Times New Roman" w:hAnsi="Times New Roman" w:eastAsia="仿宋_GB2312" w:cs="Times New Roman"/>
          <w:sz w:val="32"/>
          <w:szCs w:val="32"/>
        </w:rPr>
        <w:t>。</w:t>
      </w:r>
      <w:r>
        <w:rPr>
          <w:rFonts w:hint="default" w:ascii="Times New Roman" w:hAnsi="Times New Roman" w:eastAsia="楷体_GB2312" w:cs="Times New Roman"/>
          <w:b w:val="0"/>
          <w:bCs w:val="0"/>
          <w:spacing w:val="-4"/>
          <w:sz w:val="32"/>
          <w:szCs w:val="32"/>
          <w:lang w:eastAsia="zh-CN"/>
        </w:rPr>
        <w:t>四</w:t>
      </w:r>
      <w:r>
        <w:rPr>
          <w:rFonts w:hint="default" w:ascii="Times New Roman" w:hAnsi="Times New Roman" w:eastAsia="楷体_GB2312" w:cs="Times New Roman"/>
          <w:b w:val="0"/>
          <w:bCs w:val="0"/>
          <w:spacing w:val="-4"/>
          <w:sz w:val="32"/>
          <w:szCs w:val="32"/>
        </w:rPr>
        <w:t>是</w:t>
      </w:r>
      <w:r>
        <w:rPr>
          <w:rFonts w:hint="default" w:ascii="Times New Roman" w:hAnsi="Times New Roman" w:eastAsia="仿宋_GB2312" w:cs="Times New Roman"/>
          <w:spacing w:val="-4"/>
          <w:sz w:val="32"/>
          <w:szCs w:val="32"/>
        </w:rPr>
        <w:t>编印了《砥砺奋进</w:t>
      </w:r>
      <w:r>
        <w:rPr>
          <w:rFonts w:hint="default" w:ascii="Times New Roman" w:hAnsi="Times New Roman" w:eastAsia="黑体" w:cs="Times New Roman"/>
          <w:spacing w:val="-4"/>
          <w:sz w:val="32"/>
          <w:szCs w:val="32"/>
        </w:rPr>
        <w:t>——</w:t>
      </w:r>
      <w:r>
        <w:rPr>
          <w:rFonts w:hint="default" w:ascii="Times New Roman" w:hAnsi="Times New Roman" w:eastAsia="仿宋_GB2312" w:cs="Times New Roman"/>
          <w:spacing w:val="-4"/>
          <w:sz w:val="32"/>
          <w:szCs w:val="32"/>
        </w:rPr>
        <w:t>四川哲学社会科学发展纪实》庆祝中国共产党成立100周年画册，</w:t>
      </w:r>
      <w:r>
        <w:rPr>
          <w:rFonts w:hint="default" w:ascii="Times New Roman" w:hAnsi="Times New Roman" w:eastAsia="仿宋_GB2312" w:cs="Times New Roman"/>
          <w:bCs/>
          <w:spacing w:val="-4"/>
          <w:sz w:val="32"/>
          <w:szCs w:val="32"/>
        </w:rPr>
        <w:t>在全省社科界开展了庆祝建党100周年理论与实践征文活动，在《天府新论》开设专栏刊载了</w:t>
      </w:r>
      <w:r>
        <w:rPr>
          <w:rFonts w:hint="default" w:ascii="Times New Roman" w:hAnsi="Times New Roman" w:eastAsia="仿宋_GB2312" w:cs="Times New Roman"/>
          <w:spacing w:val="-4"/>
          <w:sz w:val="32"/>
          <w:szCs w:val="32"/>
        </w:rPr>
        <w:t>《中国共产党领导百年社会革命的理论逻辑、历史逻辑和实践逻辑》等</w:t>
      </w:r>
      <w:r>
        <w:rPr>
          <w:rFonts w:hint="default" w:ascii="Times New Roman" w:hAnsi="Times New Roman" w:eastAsia="仿宋_GB2312" w:cs="Times New Roman"/>
          <w:bCs/>
          <w:spacing w:val="-4"/>
          <w:sz w:val="32"/>
          <w:szCs w:val="32"/>
        </w:rPr>
        <w:t>专题稿件。</w:t>
      </w:r>
      <w:r>
        <w:rPr>
          <w:rFonts w:hint="default" w:ascii="Times New Roman" w:hAnsi="Times New Roman" w:eastAsia="楷体_GB2312" w:cs="Times New Roman"/>
          <w:b w:val="0"/>
          <w:bCs w:val="0"/>
          <w:spacing w:val="-4"/>
          <w:sz w:val="32"/>
          <w:szCs w:val="32"/>
          <w:lang w:eastAsia="zh-CN"/>
        </w:rPr>
        <w:t>五</w:t>
      </w:r>
      <w:r>
        <w:rPr>
          <w:rFonts w:hint="default" w:ascii="Times New Roman" w:hAnsi="Times New Roman" w:eastAsia="楷体_GB2312" w:cs="Times New Roman"/>
          <w:b w:val="0"/>
          <w:bCs w:val="0"/>
          <w:spacing w:val="-4"/>
          <w:sz w:val="32"/>
          <w:szCs w:val="32"/>
        </w:rPr>
        <w:t>是</w:t>
      </w:r>
      <w:r>
        <w:rPr>
          <w:rFonts w:hint="default" w:ascii="Times New Roman" w:hAnsi="Times New Roman" w:eastAsia="仿宋_GB2312" w:cs="Times New Roman"/>
          <w:spacing w:val="-4"/>
          <w:sz w:val="32"/>
          <w:szCs w:val="32"/>
        </w:rPr>
        <w:t>成立“建党精神研究中心”等省级社科重点研究基地，同省委党史研究室联合设立“庆祝中国共产党成立100周年暨党史学习教育活动”专项课题，总结党的历史经验，弘扬伟大建党精神。</w:t>
      </w:r>
      <w:r>
        <w:rPr>
          <w:rFonts w:hint="default" w:ascii="Times New Roman" w:hAnsi="Times New Roman" w:eastAsia="楷体_GB2312" w:cs="Times New Roman"/>
          <w:b w:val="0"/>
          <w:bCs w:val="0"/>
          <w:spacing w:val="-4"/>
          <w:sz w:val="32"/>
          <w:szCs w:val="32"/>
          <w:lang w:eastAsia="zh-CN"/>
        </w:rPr>
        <w:t>六</w:t>
      </w:r>
      <w:r>
        <w:rPr>
          <w:rFonts w:hint="default" w:ascii="Times New Roman" w:hAnsi="Times New Roman" w:eastAsia="楷体_GB2312" w:cs="Times New Roman"/>
          <w:b w:val="0"/>
          <w:bCs w:val="0"/>
          <w:spacing w:val="-4"/>
          <w:sz w:val="32"/>
          <w:szCs w:val="32"/>
        </w:rPr>
        <w:t>是</w:t>
      </w:r>
      <w:r>
        <w:rPr>
          <w:rFonts w:hint="default" w:ascii="Times New Roman" w:hAnsi="Times New Roman" w:eastAsia="仿宋_GB2312" w:cs="Times New Roman"/>
          <w:spacing w:val="-4"/>
          <w:sz w:val="32"/>
          <w:szCs w:val="32"/>
        </w:rPr>
        <w:t>同成都体育学院等联合举办中国共产党建党百年体育宣传理论与实践研讨会，同四川省民族文化影像艺术协会等联合开展“百年恰是风华正茂</w:t>
      </w:r>
      <w:r>
        <w:rPr>
          <w:rFonts w:hint="default" w:ascii="Times New Roman" w:hAnsi="Times New Roman" w:eastAsia="黑体" w:cs="Times New Roman"/>
          <w:spacing w:val="-4"/>
          <w:sz w:val="32"/>
          <w:szCs w:val="32"/>
        </w:rPr>
        <w:t>——</w:t>
      </w:r>
      <w:r>
        <w:rPr>
          <w:rFonts w:hint="default" w:ascii="Times New Roman" w:hAnsi="Times New Roman" w:eastAsia="仿宋_GB2312" w:cs="Times New Roman"/>
          <w:spacing w:val="-4"/>
          <w:sz w:val="32"/>
          <w:szCs w:val="32"/>
        </w:rPr>
        <w:t>庆祝中国共产党成立100周年百名摄影师聚焦四川巨变摄影作品展”，同重庆日报报业集团书画院等共同主办“百年梦想光耀中华</w:t>
      </w:r>
      <w:r>
        <w:rPr>
          <w:rFonts w:hint="default" w:ascii="Times New Roman" w:hAnsi="Times New Roman" w:eastAsia="黑体" w:cs="Times New Roman"/>
          <w:spacing w:val="-4"/>
          <w:sz w:val="32"/>
          <w:szCs w:val="32"/>
        </w:rPr>
        <w:t>——</w:t>
      </w:r>
      <w:r>
        <w:rPr>
          <w:rFonts w:hint="default" w:ascii="Times New Roman" w:hAnsi="Times New Roman" w:eastAsia="仿宋_GB2312" w:cs="Times New Roman"/>
          <w:spacing w:val="-4"/>
          <w:sz w:val="32"/>
          <w:szCs w:val="32"/>
        </w:rPr>
        <w:t>庆祝中国共产党成立100周年川渝书画联展”等系列活动。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服务中心大局，为全面建设社会主义现代化四川贡献社科智慧和力量</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lang w:eastAsia="zh-CN"/>
        </w:rPr>
        <w:t>成立“铸牢中华民族共同体意识研究中心”“西部乡村振兴研究中心”等</w:t>
      </w:r>
      <w:r>
        <w:rPr>
          <w:rFonts w:hint="default" w:ascii="Times New Roman" w:hAnsi="Times New Roman" w:eastAsia="仿宋_GB2312" w:cs="Times New Roman"/>
          <w:sz w:val="32"/>
          <w:szCs w:val="32"/>
          <w:lang w:val="en-US" w:eastAsia="zh-CN"/>
        </w:rPr>
        <w:t>11个省级社科重点研究基地，</w:t>
      </w:r>
      <w:r>
        <w:rPr>
          <w:rFonts w:hint="default" w:ascii="Times New Roman" w:hAnsi="Times New Roman" w:eastAsia="仿宋_GB2312" w:cs="Times New Roman"/>
          <w:sz w:val="32"/>
          <w:szCs w:val="32"/>
        </w:rPr>
        <w:t>组织引导社科理论界开展重点课题研究，切实发挥“思想库”和“智囊团”作用</w:t>
      </w:r>
      <w:r>
        <w:rPr>
          <w:rFonts w:hint="default" w:ascii="Times New Roman" w:hAnsi="Times New Roman" w:eastAsia="仿宋_GB2312" w:cs="Times New Roman"/>
          <w:sz w:val="32"/>
          <w:szCs w:val="32"/>
          <w:lang w:eastAsia="zh-CN"/>
        </w:rPr>
        <w:t>，理论研究取得一系列重大成果</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lang w:eastAsia="zh-CN"/>
        </w:rPr>
        <w:t>一是</w:t>
      </w:r>
      <w:r>
        <w:rPr>
          <w:rFonts w:hint="default" w:ascii="Times New Roman" w:hAnsi="Times New Roman" w:eastAsia="楷体_GB2312" w:cs="Times New Roman"/>
          <w:sz w:val="32"/>
          <w:szCs w:val="32"/>
        </w:rPr>
        <w:t>紧扣巩固拓展脱贫攻坚成果同乡村振兴战略有效衔接开展重点课题研究</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规划设立“四川省社科规划脱贫攻坚暨乡村振兴重大项目”，组织我省知名专家学者全面梳理四川在脱贫攻坚、脱贫攻坚与乡村振兴有效衔接、乡村振兴3个发展阶段的理论探索、工作实践，总结推广可复制、可借鉴、可推广的经验和做法。《关于运用大数据资源与技术建立农村信用体系推动乡村振兴的建议》，先后得到刘鹤、胡春华和韩正等领导的批示；《新冠肺炎疫情对凉山彝区脱贫攻坚的影响及对策建议》获时任省长尹力批示。</w:t>
      </w:r>
      <w:r>
        <w:rPr>
          <w:rFonts w:hint="default" w:ascii="Times New Roman" w:hAnsi="Times New Roman" w:eastAsia="楷体_GB2312" w:cs="Times New Roman"/>
          <w:sz w:val="32"/>
          <w:szCs w:val="32"/>
          <w:lang w:eastAsia="zh-CN"/>
        </w:rPr>
        <w:t>二是</w:t>
      </w:r>
      <w:r>
        <w:rPr>
          <w:rFonts w:hint="default" w:ascii="Times New Roman" w:hAnsi="Times New Roman" w:eastAsia="楷体_GB2312" w:cs="Times New Roman"/>
          <w:sz w:val="32"/>
          <w:szCs w:val="32"/>
        </w:rPr>
        <w:t>围绕推动成渝地区双城经济圈建设加强课题研究</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与重庆联合设立“成渝地区双城经济圈建设重大项目”，</w:t>
      </w:r>
      <w:r>
        <w:rPr>
          <w:rFonts w:hint="default" w:ascii="Times New Roman" w:hAnsi="Times New Roman" w:eastAsia="仿宋_GB2312" w:cs="Times New Roman"/>
          <w:color w:val="191919"/>
          <w:sz w:val="32"/>
          <w:szCs w:val="32"/>
          <w:shd w:val="clear" w:color="auto" w:fill="FFFFFF"/>
        </w:rPr>
        <w:t>组织引导两地专家学者联合开展课题研究，依托课题研究和优秀成果转化，充分发挥智库联盟作用。</w:t>
      </w:r>
      <w:r>
        <w:rPr>
          <w:rFonts w:hint="default" w:ascii="Times New Roman" w:hAnsi="Times New Roman" w:eastAsia="仿宋_GB2312" w:cs="Times New Roman"/>
          <w:sz w:val="32"/>
          <w:szCs w:val="32"/>
        </w:rPr>
        <w:t>组织成渝两地专家学者积极开展重大问题学术交流，举办“成渝地区双城经济圈高峰论坛”。</w:t>
      </w:r>
      <w:r>
        <w:rPr>
          <w:rFonts w:hint="default" w:ascii="Times New Roman" w:hAnsi="Times New Roman" w:eastAsia="仿宋_GB2312" w:cs="Times New Roman"/>
          <w:color w:val="191919"/>
          <w:sz w:val="32"/>
          <w:szCs w:val="32"/>
          <w:shd w:val="clear" w:color="auto" w:fill="FFFFFF"/>
        </w:rPr>
        <w:t>阶段性研究</w:t>
      </w:r>
      <w:r>
        <w:rPr>
          <w:rFonts w:hint="default" w:ascii="Times New Roman" w:hAnsi="Times New Roman" w:eastAsia="仿宋_GB2312" w:cs="Times New Roman"/>
          <w:sz w:val="32"/>
          <w:szCs w:val="32"/>
        </w:rPr>
        <w:t>成果《关于在“十四五”期间建成成渝大数据协同中心、支持双城经济圈发展的建议》，先后被刘鹤、韩正等中央领导圈阅。“区域协同视域下成渝地区双城经济圈文体旅产业融合协同创新研究”“双城经济圈建设背景下成渝协同辐射效应研究”等获立国家社科基金项目。</w:t>
      </w:r>
      <w:r>
        <w:rPr>
          <w:rFonts w:hint="default" w:ascii="Times New Roman" w:hAnsi="Times New Roman" w:eastAsia="楷体_GB2312" w:cs="Times New Roman"/>
          <w:sz w:val="32"/>
          <w:szCs w:val="32"/>
          <w:lang w:eastAsia="zh-CN"/>
        </w:rPr>
        <w:t>三是</w:t>
      </w:r>
      <w:r>
        <w:rPr>
          <w:rFonts w:hint="default" w:ascii="Times New Roman" w:hAnsi="Times New Roman" w:eastAsia="楷体_GB2312" w:cs="Times New Roman"/>
          <w:sz w:val="32"/>
          <w:szCs w:val="32"/>
        </w:rPr>
        <w:t>聚焦深入推进创新驱动引领高质量发展开展基础理论和应用对策研究</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规划设立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基于创新生态系统视角的四川省集成电路产业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卡脖子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技术攻关的协同创新机制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等重大项目，大力发动社科专家学者深入一线</w:t>
      </w:r>
      <w:r>
        <w:rPr>
          <w:rFonts w:hint="default" w:ascii="Times New Roman" w:hAnsi="Times New Roman" w:eastAsia="仿宋_GB2312" w:cs="Times New Roman"/>
          <w:sz w:val="32"/>
          <w:szCs w:val="32"/>
          <w:lang w:eastAsia="zh-CN"/>
        </w:rPr>
        <w:t>开展研究</w:t>
      </w:r>
      <w:r>
        <w:rPr>
          <w:rFonts w:hint="default" w:ascii="Times New Roman" w:hAnsi="Times New Roman" w:eastAsia="仿宋_GB2312" w:cs="Times New Roman"/>
          <w:sz w:val="32"/>
          <w:szCs w:val="32"/>
        </w:rPr>
        <w:t>，努力推出一批具有重要现实意义和应用价值的优秀成果和对策建议。先后与西南科技大学联合主办了“一干多支、五区协同”创新驱动引领高质量发展研讨会，与四川省县域经济学会等共同主办</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“加快强县培育，促进四川县域经济高质量发展座谈会”等系列学术活动。《多灾种综合风险下四川韧性城市建设研究》获省委书记彭清华批示</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lang w:eastAsia="zh-CN"/>
        </w:rPr>
        <w:t>四是</w:t>
      </w:r>
      <w:r>
        <w:rPr>
          <w:rFonts w:hint="default" w:ascii="Times New Roman" w:hAnsi="Times New Roman" w:eastAsia="楷体_GB2312" w:cs="Times New Roman"/>
          <w:sz w:val="32"/>
          <w:szCs w:val="32"/>
        </w:rPr>
        <w:t>着眼文化强省战略持续推动中华优秀传统文化、红色文化、巴蜀文化的研究阐释和宣传推广</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成立“红色资源研究中心”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入开展红色文化研究，为推进我省红色文化传承和红色旅游发展建言献策。深化中华文化基本问题研究阐发，以国学、国医、国术、国乐为重点，以川茶、川剧、川菜、川酒为特色，规划设立“四川历史名人研究”单列重大项目、“</w:t>
      </w:r>
      <w:r>
        <w:rPr>
          <w:rFonts w:hint="default" w:ascii="Times New Roman" w:hAnsi="Times New Roman" w:eastAsia="仿宋_GB2312" w:cs="Times New Roman"/>
          <w:sz w:val="32"/>
          <w:szCs w:val="32"/>
        </w:rPr>
        <w:fldChar w:fldCharType="begin"/>
      </w:r>
      <w:r>
        <w:rPr>
          <w:rFonts w:hint="default" w:ascii="Times New Roman" w:hAnsi="Times New Roman" w:cs="Times New Roman"/>
        </w:rPr>
        <w:instrText xml:space="preserve">HYPERLINK "http://www.scskl.cn/"</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中华优秀传统文化研究”</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“巴蜀文化对外传播研究”专</w:t>
      </w:r>
      <w:r>
        <w:rPr>
          <w:rFonts w:hint="default" w:ascii="Times New Roman" w:hAnsi="Times New Roman" w:eastAsia="仿宋_GB2312" w:cs="Times New Roman"/>
          <w:sz w:val="32"/>
          <w:szCs w:val="32"/>
        </w:rPr>
        <w:fldChar w:fldCharType="begin"/>
      </w:r>
      <w:r>
        <w:rPr>
          <w:rFonts w:hint="default" w:ascii="Times New Roman" w:hAnsi="Times New Roman" w:cs="Times New Roman"/>
        </w:rPr>
        <w:instrText xml:space="preserve">HYPERLINK "http://www.scskl.cn/"</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项课题</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开设“四川冷门绝学系列”“儒学视域中的四川历史名人”专栏，进一步加强四川特点的中华优秀传统文化挖掘研究和宣传推广。专题策划并联合举办《三星堆带给我们什么——考古探秘古蜀文明》《茶文化从巴蜀走向世界》《川酒何以甲天下》等四川特色文化专题讲座20余场次。</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坚持守正创新，努力推动社科工作高质量发展</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rPr>
        <w:t>坚决落实省委建设社科强省的战略部署，从提升四川社科影响力、科研水平、服务能力等方面用力，促进全省社科工作高质量发展。</w:t>
      </w:r>
      <w:r>
        <w:rPr>
          <w:rFonts w:hint="default" w:ascii="Times New Roman" w:hAnsi="Times New Roman" w:eastAsia="楷体_GB2312" w:cs="Times New Roman"/>
          <w:sz w:val="32"/>
          <w:szCs w:val="32"/>
        </w:rPr>
        <w:t>一是不断提高四川社科影响力。</w:t>
      </w:r>
      <w:r>
        <w:rPr>
          <w:rFonts w:hint="default" w:ascii="Times New Roman" w:hAnsi="Times New Roman" w:eastAsia="仿宋_GB2312" w:cs="Times New Roman"/>
          <w:sz w:val="32"/>
          <w:szCs w:val="32"/>
        </w:rPr>
        <w:t>策划并组织举办第四届“四川社科五月活动月”系列活动，集中开展高质量理论研讨、学术交流、社科普及等活动300余场，“四川社科五月活动月”影响力、号召力不断提升。着力提升学术刊物质量，《天府新论》刊物入选CSSCI扩展版来源期刊。</w:t>
      </w:r>
      <w:r>
        <w:rPr>
          <w:rFonts w:hint="default" w:ascii="Times New Roman" w:hAnsi="Times New Roman" w:eastAsia="楷体_GB2312" w:cs="Times New Roman"/>
          <w:sz w:val="32"/>
          <w:szCs w:val="32"/>
        </w:rPr>
        <w:t>二是</w:t>
      </w:r>
      <w:r>
        <w:rPr>
          <w:rFonts w:hint="default" w:ascii="Times New Roman" w:hAnsi="Times New Roman" w:eastAsia="楷体_GB2312" w:cs="Times New Roman"/>
          <w:bCs/>
          <w:sz w:val="32"/>
          <w:szCs w:val="32"/>
        </w:rPr>
        <w:t>国家社科基金项目继续</w:t>
      </w:r>
      <w:r>
        <w:rPr>
          <w:rFonts w:hint="default" w:ascii="Times New Roman" w:hAnsi="Times New Roman" w:eastAsia="楷体_GB2312" w:cs="Times New Roman"/>
          <w:bCs/>
          <w:sz w:val="32"/>
          <w:szCs w:val="32"/>
          <w:lang w:eastAsia="zh-CN"/>
        </w:rPr>
        <w:t>保持</w:t>
      </w:r>
      <w:r>
        <w:rPr>
          <w:rFonts w:hint="default" w:ascii="Times New Roman" w:hAnsi="Times New Roman" w:eastAsia="楷体_GB2312" w:cs="Times New Roman"/>
          <w:bCs/>
          <w:sz w:val="32"/>
          <w:szCs w:val="32"/>
        </w:rPr>
        <w:t>高位增长。</w:t>
      </w:r>
      <w:r>
        <w:rPr>
          <w:rFonts w:hint="default" w:ascii="Times New Roman" w:hAnsi="Times New Roman" w:eastAsia="仿宋_GB2312" w:cs="Times New Roman"/>
          <w:bCs/>
          <w:sz w:val="32"/>
          <w:szCs w:val="32"/>
        </w:rPr>
        <w:t>主动对接全国社科工作办，通过积极争取，2021年我省共获立国家社科基金项目</w:t>
      </w:r>
      <w:r>
        <w:rPr>
          <w:rFonts w:hint="default" w:ascii="Times New Roman" w:hAnsi="Times New Roman" w:eastAsia="仿宋_GB2312" w:cs="Times New Roman"/>
          <w:bCs/>
          <w:sz w:val="32"/>
          <w:szCs w:val="32"/>
          <w:lang w:val="en-US" w:eastAsia="zh-CN"/>
        </w:rPr>
        <w:t>265</w:t>
      </w:r>
      <w:r>
        <w:rPr>
          <w:rFonts w:hint="default" w:ascii="Times New Roman" w:hAnsi="Times New Roman" w:eastAsia="仿宋_GB2312" w:cs="Times New Roman"/>
          <w:bCs/>
          <w:sz w:val="32"/>
          <w:szCs w:val="32"/>
        </w:rPr>
        <w:t>项，获得研究经费</w:t>
      </w:r>
      <w:r>
        <w:rPr>
          <w:rFonts w:hint="default" w:ascii="Times New Roman" w:hAnsi="Times New Roman" w:eastAsia="仿宋_GB2312" w:cs="Times New Roman"/>
          <w:bCs/>
          <w:sz w:val="32"/>
          <w:szCs w:val="32"/>
          <w:lang w:val="en-US" w:eastAsia="zh-CN"/>
        </w:rPr>
        <w:t>6550</w:t>
      </w:r>
      <w:r>
        <w:rPr>
          <w:rFonts w:hint="default" w:ascii="Times New Roman" w:hAnsi="Times New Roman" w:eastAsia="仿宋_GB2312" w:cs="Times New Roman"/>
          <w:bCs/>
          <w:sz w:val="32"/>
          <w:szCs w:val="32"/>
        </w:rPr>
        <w:t>万元，继续保持较好发展态势。同时，</w:t>
      </w:r>
      <w:r>
        <w:rPr>
          <w:rFonts w:hint="default" w:ascii="Times New Roman" w:hAnsi="Times New Roman" w:eastAsia="仿宋_GB2312" w:cs="Times New Roman"/>
          <w:sz w:val="32"/>
          <w:szCs w:val="32"/>
        </w:rPr>
        <w:t>认真做好2021年度省级社科规划项目的申报、评审、管理和结项工作，共立项584项。</w:t>
      </w:r>
      <w:r>
        <w:rPr>
          <w:rFonts w:hint="default" w:ascii="Times New Roman" w:hAnsi="Times New Roman" w:eastAsia="楷体_GB2312" w:cs="Times New Roman"/>
          <w:bCs/>
          <w:sz w:val="32"/>
          <w:szCs w:val="32"/>
        </w:rPr>
        <w:t>三是公平公正有序推进省第十九次社科评奖工作。</w:t>
      </w:r>
      <w:r>
        <w:rPr>
          <w:rFonts w:hint="default" w:ascii="Times New Roman" w:hAnsi="Times New Roman" w:eastAsia="仿宋_GB2312" w:cs="Times New Roman"/>
          <w:bCs/>
          <w:sz w:val="32"/>
          <w:szCs w:val="32"/>
        </w:rPr>
        <w:t>在省委省政府的领导和省委宣传部的直接指导下，省第十九次社会科学优秀成果评奖按照总奖项不变，一等奖、二等奖高等级奖项各增加50%的要求，顺利完成评审、复审、终审，通过了400项拟获奖成果，其中，一等奖29项、二等奖121项、三等奖250项。</w:t>
      </w:r>
      <w:r>
        <w:rPr>
          <w:rFonts w:hint="default" w:ascii="Times New Roman" w:hAnsi="Times New Roman" w:eastAsia="楷体_GB2312" w:cs="Times New Roman"/>
          <w:bCs/>
          <w:sz w:val="32"/>
          <w:szCs w:val="32"/>
        </w:rPr>
        <w:t>四是积极推动我省社科重大项目。</w:t>
      </w:r>
      <w:r>
        <w:rPr>
          <w:rFonts w:hint="default" w:ascii="Times New Roman" w:hAnsi="Times New Roman" w:eastAsia="仿宋_GB2312" w:cs="Times New Roman"/>
          <w:bCs/>
          <w:sz w:val="32"/>
          <w:szCs w:val="32"/>
        </w:rPr>
        <w:t>2021年7月，我省2021年宣传思想工作重大项目——“重修《汉语大字典》”项目纳入《国家“十四五”时</w:t>
      </w:r>
      <w:r>
        <w:rPr>
          <w:rFonts w:hint="default" w:ascii="Times New Roman" w:hAnsi="Times New Roman" w:eastAsia="仿宋_GB2312" w:cs="Times New Roman"/>
          <w:sz w:val="32"/>
          <w:szCs w:val="32"/>
        </w:rPr>
        <w:t>期哲学社会科学发展规划》重大工程项目。牵头编制《四川省哲学社会科学发展“十四五”规划》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w:t>
      </w:r>
      <w:r>
        <w:rPr>
          <w:rFonts w:hint="default" w:ascii="Times New Roman" w:hAnsi="Times New Roman" w:eastAsia="仿宋_GB2312" w:cs="Times New Roman"/>
          <w:sz w:val="32"/>
          <w:szCs w:val="32"/>
          <w:lang w:eastAsia="zh-CN"/>
        </w:rPr>
        <w:t>及时</w:t>
      </w:r>
      <w:r>
        <w:rPr>
          <w:rFonts w:hint="default" w:ascii="Times New Roman" w:hAnsi="Times New Roman" w:eastAsia="仿宋_GB2312" w:cs="Times New Roman"/>
          <w:sz w:val="32"/>
          <w:szCs w:val="32"/>
        </w:rPr>
        <w:t>报送省委宣传部审定。</w:t>
      </w:r>
      <w:r>
        <w:rPr>
          <w:rFonts w:hint="default" w:ascii="Times New Roman" w:hAnsi="Times New Roman" w:eastAsia="楷体_GB2312" w:cs="Times New Roman"/>
          <w:sz w:val="32"/>
          <w:szCs w:val="32"/>
        </w:rPr>
        <w:t>五是首次编纂《四川哲学社会科学年鉴》。</w:t>
      </w:r>
      <w:r>
        <w:rPr>
          <w:rFonts w:hint="default" w:ascii="Times New Roman" w:hAnsi="Times New Roman" w:eastAsia="仿宋_GB2312" w:cs="Times New Roman"/>
          <w:sz w:val="32"/>
          <w:szCs w:val="32"/>
        </w:rPr>
        <w:t>本着对历史负责，对社科事业负责，针对我省社科界一直没有工作年鉴的情况，首次编纂《四川哲学社会科学年鉴》，全面记录和反映我省社科界2020年全面贯彻落实中央和省委重大决策部署，加强理论研究，开展社科普及，促进学术繁荣，推动新时代中国特色、四川特点哲学社会科学繁荣发展的主要工作情况。</w:t>
      </w:r>
    </w:p>
    <w:p>
      <w:pPr>
        <w:spacing w:line="570" w:lineRule="exact"/>
        <w:ind w:firstLine="640" w:firstLineChars="200"/>
        <w:rPr>
          <w:rStyle w:val="33"/>
          <w:rFonts w:hint="eastAsia" w:eastAsia="黑体" w:cs="Times New Roman"/>
          <w:b w:val="0"/>
          <w:bCs w:val="0"/>
          <w:lang w:val="en-US" w:eastAsia="zh-CN"/>
        </w:rPr>
      </w:pPr>
      <w:r>
        <w:rPr>
          <w:rStyle w:val="33"/>
          <w:rFonts w:hint="eastAsia" w:eastAsia="黑体" w:cs="Times New Roman"/>
          <w:b w:val="0"/>
          <w:bCs w:val="0"/>
          <w:lang w:val="en-US" w:eastAsia="zh-CN"/>
        </w:rPr>
        <w:t>三</w:t>
      </w:r>
      <w:r>
        <w:rPr>
          <w:rStyle w:val="33"/>
          <w:rFonts w:hint="default" w:ascii="Times New Roman" w:hAnsi="Times New Roman" w:eastAsia="黑体" w:cs="Times New Roman"/>
          <w:b w:val="0"/>
          <w:bCs w:val="0"/>
        </w:rPr>
        <w:t>、机构设置</w:t>
      </w:r>
      <w:r>
        <w:rPr>
          <w:rStyle w:val="33"/>
          <w:rFonts w:hint="eastAsia" w:eastAsia="黑体" w:cs="Times New Roman"/>
          <w:b w:val="0"/>
          <w:bCs w:val="0"/>
          <w:lang w:val="en-US" w:eastAsia="zh-CN"/>
        </w:rPr>
        <w:t>情况</w:t>
      </w:r>
    </w:p>
    <w:p>
      <w:pPr>
        <w:spacing w:line="570" w:lineRule="exact"/>
        <w:ind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省社科联本级由</w:t>
      </w:r>
      <w:r>
        <w:rPr>
          <w:rFonts w:hint="eastAsia" w:eastAsia="仿宋_GB2312" w:cs="Times New Roman"/>
          <w:b w:val="0"/>
          <w:bCs w:val="0"/>
          <w:kern w:val="2"/>
          <w:sz w:val="32"/>
          <w:szCs w:val="32"/>
          <w:lang w:val="en-US" w:eastAsia="zh-CN" w:bidi="ar-SA"/>
        </w:rPr>
        <w:t>7</w:t>
      </w:r>
      <w:r>
        <w:rPr>
          <w:rFonts w:hint="eastAsia" w:ascii="Times New Roman" w:hAnsi="Times New Roman" w:eastAsia="仿宋_GB2312" w:cs="Times New Roman"/>
          <w:b w:val="0"/>
          <w:bCs w:val="0"/>
          <w:kern w:val="2"/>
          <w:sz w:val="32"/>
          <w:szCs w:val="32"/>
          <w:lang w:val="en-US" w:eastAsia="zh-CN" w:bidi="ar-SA"/>
        </w:rPr>
        <w:t>个内设</w:t>
      </w:r>
      <w:r>
        <w:rPr>
          <w:rFonts w:hint="eastAsia" w:eastAsia="仿宋_GB2312" w:cs="Times New Roman"/>
          <w:b w:val="0"/>
          <w:bCs w:val="0"/>
          <w:kern w:val="2"/>
          <w:sz w:val="32"/>
          <w:szCs w:val="32"/>
          <w:lang w:val="en-US" w:eastAsia="zh-CN" w:bidi="ar-SA"/>
        </w:rPr>
        <w:t>机构</w:t>
      </w:r>
      <w:r>
        <w:rPr>
          <w:rFonts w:hint="eastAsia" w:ascii="Times New Roman" w:hAnsi="Times New Roman" w:eastAsia="仿宋_GB2312" w:cs="Times New Roman"/>
          <w:b w:val="0"/>
          <w:bCs w:val="0"/>
          <w:kern w:val="2"/>
          <w:sz w:val="32"/>
          <w:szCs w:val="32"/>
          <w:lang w:val="en-US" w:eastAsia="zh-CN" w:bidi="ar-SA"/>
        </w:rPr>
        <w:t>组成，分别是：办公室、规划评奖</w:t>
      </w:r>
      <w:r>
        <w:rPr>
          <w:rFonts w:hint="eastAsia" w:eastAsia="仿宋_GB2312" w:cs="Times New Roman"/>
          <w:b w:val="0"/>
          <w:bCs w:val="0"/>
          <w:kern w:val="2"/>
          <w:sz w:val="32"/>
          <w:szCs w:val="32"/>
          <w:lang w:val="en-US" w:eastAsia="zh-CN" w:bidi="ar-SA"/>
        </w:rPr>
        <w:t>处</w:t>
      </w:r>
      <w:r>
        <w:rPr>
          <w:rFonts w:hint="eastAsia" w:ascii="Times New Roman" w:hAnsi="Times New Roman" w:eastAsia="仿宋_GB2312" w:cs="Times New Roman"/>
          <w:b w:val="0"/>
          <w:bCs w:val="0"/>
          <w:kern w:val="2"/>
          <w:sz w:val="32"/>
          <w:szCs w:val="32"/>
          <w:lang w:val="en-US" w:eastAsia="zh-CN" w:bidi="ar-SA"/>
        </w:rPr>
        <w:t>、学会</w:t>
      </w:r>
      <w:r>
        <w:rPr>
          <w:rFonts w:hint="eastAsia" w:eastAsia="仿宋_GB2312" w:cs="Times New Roman"/>
          <w:b w:val="0"/>
          <w:bCs w:val="0"/>
          <w:kern w:val="2"/>
          <w:sz w:val="32"/>
          <w:szCs w:val="32"/>
          <w:lang w:val="en-US" w:eastAsia="zh-CN" w:bidi="ar-SA"/>
        </w:rPr>
        <w:t>处</w:t>
      </w:r>
      <w:r>
        <w:rPr>
          <w:rFonts w:hint="eastAsia" w:ascii="Times New Roman" w:hAnsi="Times New Roman" w:eastAsia="仿宋_GB2312" w:cs="Times New Roman"/>
          <w:b w:val="0"/>
          <w:bCs w:val="0"/>
          <w:kern w:val="2"/>
          <w:sz w:val="32"/>
          <w:szCs w:val="32"/>
          <w:lang w:val="en-US" w:eastAsia="zh-CN" w:bidi="ar-SA"/>
        </w:rPr>
        <w:t>、</w:t>
      </w:r>
      <w:r>
        <w:rPr>
          <w:rFonts w:hint="eastAsia" w:eastAsia="仿宋_GB2312" w:cs="Times New Roman"/>
          <w:b w:val="0"/>
          <w:bCs w:val="0"/>
          <w:kern w:val="2"/>
          <w:sz w:val="32"/>
          <w:szCs w:val="32"/>
          <w:lang w:val="en-US" w:eastAsia="zh-CN" w:bidi="ar-SA"/>
        </w:rPr>
        <w:t>科普处</w:t>
      </w:r>
      <w:r>
        <w:rPr>
          <w:rFonts w:hint="eastAsia" w:ascii="Times New Roman" w:hAnsi="Times New Roman" w:eastAsia="仿宋_GB2312" w:cs="Times New Roman"/>
          <w:b w:val="0"/>
          <w:bCs w:val="0"/>
          <w:kern w:val="2"/>
          <w:sz w:val="32"/>
          <w:szCs w:val="32"/>
          <w:lang w:val="en-US" w:eastAsia="zh-CN" w:bidi="ar-SA"/>
        </w:rPr>
        <w:t>、</w:t>
      </w:r>
      <w:r>
        <w:rPr>
          <w:rFonts w:hint="eastAsia" w:eastAsia="仿宋_GB2312" w:cs="Times New Roman"/>
          <w:b w:val="0"/>
          <w:bCs w:val="0"/>
          <w:kern w:val="2"/>
          <w:sz w:val="32"/>
          <w:szCs w:val="32"/>
          <w:lang w:val="en-US" w:eastAsia="zh-CN" w:bidi="ar-SA"/>
        </w:rPr>
        <w:t>科研处</w:t>
      </w:r>
      <w:r>
        <w:rPr>
          <w:rFonts w:hint="eastAsia" w:ascii="Times New Roman" w:hAnsi="Times New Roman" w:eastAsia="仿宋_GB2312" w:cs="Times New Roman"/>
          <w:b w:val="0"/>
          <w:bCs w:val="0"/>
          <w:kern w:val="2"/>
          <w:sz w:val="32"/>
          <w:szCs w:val="32"/>
          <w:lang w:val="en-US" w:eastAsia="zh-CN" w:bidi="ar-SA"/>
        </w:rPr>
        <w:t>、</w:t>
      </w:r>
      <w:r>
        <w:rPr>
          <w:rFonts w:hint="eastAsia" w:eastAsia="仿宋_GB2312" w:cs="Times New Roman"/>
          <w:b w:val="0"/>
          <w:bCs w:val="0"/>
          <w:kern w:val="2"/>
          <w:sz w:val="32"/>
          <w:szCs w:val="32"/>
          <w:lang w:val="en-US" w:eastAsia="zh-CN" w:bidi="ar-SA"/>
        </w:rPr>
        <w:t>《天府新论》编辑部、</w:t>
      </w:r>
      <w:r>
        <w:rPr>
          <w:rFonts w:hint="eastAsia" w:ascii="Times New Roman" w:hAnsi="Times New Roman" w:eastAsia="仿宋_GB2312" w:cs="Times New Roman"/>
          <w:b w:val="0"/>
          <w:bCs w:val="0"/>
          <w:kern w:val="2"/>
          <w:sz w:val="32"/>
          <w:szCs w:val="32"/>
          <w:lang w:val="en-US" w:eastAsia="zh-CN" w:bidi="ar-SA"/>
        </w:rPr>
        <w:t>组织人事部。</w:t>
      </w:r>
    </w:p>
    <w:p>
      <w:pPr>
        <w:pStyle w:val="3"/>
        <w:ind w:right="440" w:firstLine="440" w:firstLineChars="100"/>
        <w:rPr>
          <w:rStyle w:val="26"/>
          <w:rFonts w:hint="default" w:ascii="Times New Roman" w:hAnsi="Times New Roman" w:eastAsia="黑体" w:cs="Times New Roman"/>
          <w:b w:val="0"/>
          <w:bCs/>
        </w:rPr>
      </w:pPr>
      <w:r>
        <w:rPr>
          <w:rFonts w:hint="default" w:ascii="Times New Roman" w:hAnsi="Times New Roman" w:eastAsia="黑体" w:cs="Times New Roman"/>
          <w:b w:val="0"/>
        </w:rPr>
        <w:t>第二部分 202</w:t>
      </w:r>
      <w:r>
        <w:rPr>
          <w:rFonts w:hint="default" w:ascii="Times New Roman" w:hAnsi="Times New Roman" w:eastAsia="黑体" w:cs="Times New Roman"/>
          <w:b w:val="0"/>
          <w:lang w:val="en-US" w:eastAsia="zh-CN"/>
        </w:rPr>
        <w:t>1</w:t>
      </w:r>
      <w:r>
        <w:rPr>
          <w:rFonts w:hint="default" w:ascii="Times New Roman" w:hAnsi="Times New Roman" w:eastAsia="黑体" w:cs="Times New Roman"/>
          <w:b w:val="0"/>
        </w:rPr>
        <w:t>年度</w:t>
      </w:r>
      <w:r>
        <w:rPr>
          <w:rStyle w:val="26"/>
          <w:rFonts w:hint="default" w:ascii="Times New Roman" w:hAnsi="Times New Roman" w:eastAsia="黑体" w:cs="Times New Roman"/>
          <w:b w:val="0"/>
          <w:bCs/>
        </w:rPr>
        <w:t>部门决算情况说明</w:t>
      </w:r>
      <w:bookmarkEnd w:id="14"/>
      <w:bookmarkEnd w:id="15"/>
    </w:p>
    <w:p>
      <w:pPr>
        <w:rPr>
          <w:rFonts w:hint="default" w:ascii="Times New Roman" w:hAnsi="Times New Roman" w:cs="Times New Roman"/>
        </w:rPr>
      </w:pPr>
    </w:p>
    <w:p>
      <w:pPr>
        <w:pStyle w:val="25"/>
        <w:numPr>
          <w:ilvl w:val="0"/>
          <w:numId w:val="1"/>
        </w:numPr>
        <w:spacing w:line="600" w:lineRule="exact"/>
        <w:ind w:firstLineChars="0"/>
        <w:outlineLvl w:val="1"/>
        <w:rPr>
          <w:rStyle w:val="27"/>
          <w:rFonts w:hint="default" w:ascii="Times New Roman" w:hAnsi="Times New Roman" w:eastAsia="黑体" w:cs="Times New Roman"/>
          <w:b w:val="0"/>
        </w:rPr>
      </w:pPr>
      <w:bookmarkStart w:id="16" w:name="_Toc15396603"/>
      <w:bookmarkStart w:id="17" w:name="_Toc15377205"/>
      <w:r>
        <w:rPr>
          <w:rFonts w:hint="default" w:ascii="Times New Roman" w:hAnsi="Times New Roman" w:eastAsia="黑体" w:cs="Times New Roman"/>
          <w:sz w:val="32"/>
          <w:szCs w:val="32"/>
        </w:rPr>
        <w:t>收</w:t>
      </w:r>
      <w:r>
        <w:rPr>
          <w:rStyle w:val="27"/>
          <w:rFonts w:hint="default" w:ascii="Times New Roman" w:hAnsi="Times New Roman" w:eastAsia="黑体" w:cs="Times New Roman"/>
          <w:b w:val="0"/>
        </w:rPr>
        <w:t>入支出决算总体情况说明</w:t>
      </w:r>
      <w:bookmarkEnd w:id="16"/>
      <w:bookmarkEnd w:id="17"/>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年度收、支总计4600.31万元。与20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年相比，收、支总计各</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1265.03</w:t>
      </w:r>
      <w:r>
        <w:rPr>
          <w:rFonts w:hint="default" w:ascii="Times New Roman" w:hAnsi="Times New Roman" w:eastAsia="仿宋" w:cs="Times New Roman"/>
          <w:sz w:val="32"/>
          <w:szCs w:val="32"/>
        </w:rPr>
        <w:t>万元，</w:t>
      </w:r>
      <w:r>
        <w:rPr>
          <w:rFonts w:hint="default" w:ascii="Times New Roman" w:hAnsi="Times New Roman" w:eastAsia="仿宋_GB2312" w:cs="Times New Roman"/>
          <w:color w:val="auto"/>
          <w:sz w:val="32"/>
          <w:szCs w:val="32"/>
          <w:lang w:eastAsia="zh-CN"/>
        </w:rPr>
        <w:t>增加</w:t>
      </w:r>
      <w:r>
        <w:rPr>
          <w:rFonts w:hint="eastAsia" w:eastAsia="仿宋_GB2312" w:cs="Times New Roman"/>
          <w:color w:val="auto"/>
          <w:sz w:val="32"/>
          <w:szCs w:val="32"/>
          <w:lang w:val="en-US" w:eastAsia="zh-CN"/>
        </w:rPr>
        <w:t>37.93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主要增加</w:t>
      </w:r>
      <w:r>
        <w:rPr>
          <w:rFonts w:hint="default" w:ascii="Times New Roman" w:hAnsi="Times New Roman" w:eastAsia="仿宋_GB2312" w:cs="Times New Roman"/>
          <w:color w:val="auto"/>
          <w:sz w:val="32"/>
          <w:szCs w:val="32"/>
        </w:rPr>
        <w:t>原因为</w:t>
      </w:r>
      <w:r>
        <w:rPr>
          <w:rFonts w:hint="default" w:ascii="Times New Roman" w:hAnsi="Times New Roman" w:eastAsia="仿宋_GB2312" w:cs="Times New Roman"/>
          <w:color w:val="auto"/>
          <w:sz w:val="32"/>
          <w:szCs w:val="32"/>
          <w:lang w:eastAsia="zh-CN"/>
        </w:rPr>
        <w:t>：一是</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为评奖年，增加社科评奖奖金，二是增加社科馆建设经费</w:t>
      </w:r>
      <w:r>
        <w:rPr>
          <w:rFonts w:hint="default" w:ascii="Times New Roman" w:hAnsi="Times New Roman" w:eastAsia="仿宋_GB2312" w:cs="Times New Roman"/>
          <w:color w:val="auto"/>
          <w:sz w:val="32"/>
          <w:szCs w:val="32"/>
        </w:rPr>
        <w:t>。</w:t>
      </w:r>
    </w:p>
    <w:p>
      <w:pPr>
        <w:pStyle w:val="2"/>
        <w:rPr>
          <w:rFonts w:hint="default" w:ascii="Times New Roman" w:hAnsi="Times New Roman" w:cs="Times New Roman"/>
        </w:rPr>
      </w:pPr>
    </w:p>
    <w:p>
      <w:pPr>
        <w:pStyle w:val="2"/>
        <w:spacing w:before="93"/>
        <w:rPr>
          <w:rFonts w:hint="default" w:ascii="Times New Roman" w:hAnsi="Times New Roman" w:eastAsia="仿宋" w:cs="Times New Roman"/>
          <w:sz w:val="32"/>
          <w:szCs w:val="32"/>
        </w:rPr>
      </w:pPr>
      <w:r>
        <w:rPr>
          <w:rFonts w:hint="default" w:ascii="Times New Roman" w:hAnsi="Times New Roman" w:eastAsia="仿宋" w:cs="Times New Roman"/>
          <w:sz w:val="32"/>
          <w:szCs w:val="32"/>
        </w:rPr>
        <w:drawing>
          <wp:inline distT="0" distB="0" distL="114300" distR="114300">
            <wp:extent cx="5184140" cy="2545080"/>
            <wp:effectExtent l="4445" t="4445" r="12065" b="222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480" w:firstLineChars="200"/>
        <w:jc w:val="center"/>
        <w:rPr>
          <w:rFonts w:hint="default" w:ascii="Times New Roman" w:hAnsi="Times New Roman" w:eastAsia="仿宋_GB2312" w:cs="Times New Roman"/>
          <w:sz w:val="32"/>
          <w:szCs w:val="32"/>
        </w:rPr>
      </w:pPr>
      <w:r>
        <w:rPr>
          <w:rFonts w:hint="default" w:ascii="Times New Roman" w:hAnsi="Times New Roman" w:eastAsia="仿宋" w:cs="Times New Roman"/>
          <w:color w:val="000000"/>
          <w:sz w:val="24"/>
        </w:rPr>
        <w:t>图1：收、支决算总计变动情况图（单位：万元）</w:t>
      </w:r>
    </w:p>
    <w:p>
      <w:pPr>
        <w:pStyle w:val="25"/>
        <w:numPr>
          <w:ilvl w:val="0"/>
          <w:numId w:val="1"/>
        </w:numPr>
        <w:spacing w:line="600" w:lineRule="exact"/>
        <w:ind w:firstLineChars="0"/>
        <w:outlineLvl w:val="1"/>
        <w:rPr>
          <w:rStyle w:val="27"/>
          <w:rFonts w:hint="default" w:ascii="Times New Roman" w:hAnsi="Times New Roman" w:eastAsia="黑体" w:cs="Times New Roman"/>
          <w:b w:val="0"/>
        </w:rPr>
      </w:pPr>
      <w:bookmarkStart w:id="18" w:name="_Toc15396604"/>
      <w:bookmarkStart w:id="19" w:name="_Toc15377206"/>
      <w:r>
        <w:rPr>
          <w:rFonts w:hint="default" w:ascii="Times New Roman" w:hAnsi="Times New Roman" w:eastAsia="黑体" w:cs="Times New Roman"/>
          <w:sz w:val="32"/>
          <w:szCs w:val="32"/>
        </w:rPr>
        <w:t>收</w:t>
      </w:r>
      <w:r>
        <w:rPr>
          <w:rStyle w:val="27"/>
          <w:rFonts w:hint="default" w:ascii="Times New Roman" w:hAnsi="Times New Roman" w:eastAsia="黑体" w:cs="Times New Roman"/>
          <w:b w:val="0"/>
        </w:rPr>
        <w:t>入决算情况说明</w:t>
      </w:r>
      <w:bookmarkEnd w:id="18"/>
      <w:bookmarkEnd w:id="19"/>
    </w:p>
    <w:p>
      <w:pPr>
        <w:spacing w:line="600" w:lineRule="exact"/>
        <w:ind w:firstLine="640" w:firstLineChars="200"/>
        <w:outlineLvl w:val="1"/>
        <w:rPr>
          <w:rFonts w:hint="default" w:ascii="Times New Roman" w:hAnsi="Times New Roman" w:eastAsia="仿宋_GB2312" w:cs="Times New Roman"/>
          <w:color w:val="000000"/>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1</w:t>
      </w:r>
      <w:r>
        <w:rPr>
          <w:rFonts w:hint="default" w:ascii="Times New Roman" w:hAnsi="Times New Roman" w:eastAsia="仿宋" w:cs="Times New Roman"/>
          <w:sz w:val="32"/>
          <w:szCs w:val="32"/>
        </w:rPr>
        <w:t>年本年收入合计4600.31万元，其中：一般公共预算财政拨款收入4600.31万元，</w:t>
      </w:r>
      <w:r>
        <w:rPr>
          <w:rFonts w:hint="default" w:ascii="Times New Roman" w:hAnsi="Times New Roman" w:eastAsia="仿宋_GB2312" w:cs="Times New Roman"/>
          <w:color w:val="000000"/>
          <w:sz w:val="32"/>
          <w:szCs w:val="32"/>
        </w:rPr>
        <w:t>占100%。</w:t>
      </w:r>
    </w:p>
    <w:p>
      <w:pPr>
        <w:pStyle w:val="2"/>
        <w:spacing w:before="93"/>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drawing>
          <wp:inline distT="0" distB="0" distL="114300" distR="114300">
            <wp:extent cx="5127625" cy="1934845"/>
            <wp:effectExtent l="4445" t="4445" r="11430" b="228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480" w:firstLineChars="200"/>
        <w:jc w:val="center"/>
        <w:rPr>
          <w:rFonts w:hint="default" w:ascii="Times New Roman" w:hAnsi="Times New Roman" w:eastAsia="仿宋_GB2312" w:cs="Times New Roman"/>
          <w:color w:val="000000"/>
          <w:sz w:val="32"/>
          <w:szCs w:val="32"/>
        </w:rPr>
      </w:pPr>
      <w:r>
        <w:rPr>
          <w:rFonts w:hint="default" w:ascii="Times New Roman" w:hAnsi="Times New Roman" w:eastAsia="仿宋" w:cs="Times New Roman"/>
          <w:color w:val="000000"/>
          <w:sz w:val="24"/>
        </w:rPr>
        <w:t>图2：收入决算结构图（单位：万元）</w:t>
      </w:r>
    </w:p>
    <w:p>
      <w:pPr>
        <w:pStyle w:val="25"/>
        <w:numPr>
          <w:ilvl w:val="0"/>
          <w:numId w:val="1"/>
        </w:numPr>
        <w:spacing w:line="600" w:lineRule="exact"/>
        <w:ind w:firstLineChars="0"/>
        <w:outlineLvl w:val="1"/>
        <w:rPr>
          <w:rStyle w:val="27"/>
          <w:rFonts w:hint="default" w:ascii="Times New Roman" w:hAnsi="Times New Roman" w:eastAsia="黑体" w:cs="Times New Roman"/>
          <w:b w:val="0"/>
        </w:rPr>
      </w:pPr>
      <w:bookmarkStart w:id="20" w:name="_Toc15396605"/>
      <w:bookmarkStart w:id="21" w:name="_Toc15377207"/>
      <w:r>
        <w:rPr>
          <w:rFonts w:hint="default" w:ascii="Times New Roman" w:hAnsi="Times New Roman" w:eastAsia="黑体" w:cs="Times New Roman"/>
          <w:sz w:val="32"/>
          <w:szCs w:val="32"/>
        </w:rPr>
        <w:t>支</w:t>
      </w:r>
      <w:r>
        <w:rPr>
          <w:rStyle w:val="27"/>
          <w:rFonts w:hint="default" w:ascii="Times New Roman" w:hAnsi="Times New Roman" w:eastAsia="黑体" w:cs="Times New Roman"/>
          <w:b w:val="0"/>
        </w:rPr>
        <w:t>出决算情况说明</w:t>
      </w:r>
      <w:bookmarkEnd w:id="20"/>
      <w:bookmarkEnd w:id="21"/>
    </w:p>
    <w:p>
      <w:pPr>
        <w:snapToGrid w:val="0"/>
        <w:spacing w:line="520" w:lineRule="exact"/>
        <w:ind w:firstLine="640" w:firstLineChars="200"/>
        <w:rPr>
          <w:rFonts w:hint="default" w:ascii="Times New Roman" w:hAnsi="Times New Roman" w:eastAsia="仿宋_GB2312" w:cs="Times New Roman"/>
          <w:sz w:val="32"/>
          <w:szCs w:val="32"/>
          <w:lang w:eastAsia="zh-CN"/>
        </w:rPr>
      </w:pPr>
      <w:bookmarkStart w:id="22" w:name="_Toc15377208"/>
      <w:bookmarkStart w:id="23" w:name="_Toc15396606"/>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年省社科联本年支出合计4600.31万元，其中：基本支出1698.2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万元，占37%；项目支出2902.07万元，占63%</w:t>
      </w:r>
      <w:r>
        <w:rPr>
          <w:rFonts w:hint="default" w:ascii="Times New Roman" w:hAnsi="Times New Roman" w:eastAsia="仿宋_GB2312" w:cs="Times New Roman"/>
          <w:sz w:val="32"/>
          <w:szCs w:val="32"/>
          <w:lang w:eastAsia="zh-CN"/>
        </w:rPr>
        <w:t>。</w:t>
      </w:r>
    </w:p>
    <w:p>
      <w:pPr>
        <w:pStyle w:val="2"/>
        <w:spacing w:before="93"/>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drawing>
          <wp:inline distT="0" distB="0" distL="114300" distR="114300">
            <wp:extent cx="5280025" cy="2495550"/>
            <wp:effectExtent l="4445" t="4445" r="11430"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480" w:firstLineChars="200"/>
        <w:jc w:val="center"/>
        <w:rPr>
          <w:rFonts w:hint="default" w:ascii="Times New Roman" w:hAnsi="Times New Roman" w:eastAsia="黑体" w:cs="Times New Roman"/>
          <w:sz w:val="32"/>
          <w:szCs w:val="32"/>
        </w:rPr>
      </w:pPr>
      <w:r>
        <w:rPr>
          <w:rFonts w:hint="default" w:ascii="Times New Roman" w:hAnsi="Times New Roman" w:eastAsia="仿宋" w:cs="Times New Roman"/>
          <w:color w:val="000000"/>
          <w:sz w:val="24"/>
        </w:rPr>
        <w:t>图3：支出决算结构图（单位：万元）</w:t>
      </w:r>
    </w:p>
    <w:p>
      <w:pPr>
        <w:spacing w:line="600" w:lineRule="exact"/>
        <w:ind w:firstLine="640" w:firstLineChars="200"/>
        <w:outlineLvl w:val="1"/>
        <w:rPr>
          <w:rStyle w:val="27"/>
          <w:rFonts w:hint="default" w:ascii="Times New Roman" w:hAnsi="Times New Roman" w:eastAsia="黑体" w:cs="Times New Roman"/>
          <w:b w:val="0"/>
        </w:rPr>
      </w:pPr>
      <w:r>
        <w:rPr>
          <w:rFonts w:hint="default" w:ascii="Times New Roman" w:hAnsi="Times New Roman" w:eastAsia="黑体" w:cs="Times New Roman"/>
          <w:sz w:val="32"/>
          <w:szCs w:val="32"/>
        </w:rPr>
        <w:t>四、财</w:t>
      </w:r>
      <w:r>
        <w:rPr>
          <w:rStyle w:val="27"/>
          <w:rFonts w:hint="default" w:ascii="Times New Roman" w:hAnsi="Times New Roman" w:eastAsia="黑体" w:cs="Times New Roman"/>
          <w:b w:val="0"/>
        </w:rPr>
        <w:t>政拨款收入支出决算总体情况说明</w:t>
      </w:r>
      <w:bookmarkEnd w:id="22"/>
      <w:bookmarkEnd w:id="23"/>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年财政拨款收、支总计</w:t>
      </w:r>
      <w:r>
        <w:rPr>
          <w:rFonts w:hint="default" w:ascii="Times New Roman" w:hAnsi="Times New Roman" w:eastAsia="仿宋_GB2312" w:cs="Times New Roman"/>
          <w:sz w:val="32"/>
          <w:szCs w:val="32"/>
        </w:rPr>
        <w:t>4600.31</w:t>
      </w:r>
      <w:r>
        <w:rPr>
          <w:rFonts w:hint="default" w:ascii="Times New Roman" w:hAnsi="Times New Roman" w:eastAsia="仿宋" w:cs="Times New Roman"/>
          <w:sz w:val="32"/>
          <w:szCs w:val="32"/>
        </w:rPr>
        <w:t>万元。与20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年相比，财政拨款收、支总计各</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1265.03</w:t>
      </w:r>
      <w:r>
        <w:rPr>
          <w:rFonts w:hint="default" w:ascii="Times New Roman" w:hAnsi="Times New Roman" w:eastAsia="仿宋" w:cs="Times New Roman"/>
          <w:sz w:val="32"/>
          <w:szCs w:val="32"/>
        </w:rPr>
        <w:t>万元，</w:t>
      </w:r>
      <w:r>
        <w:rPr>
          <w:rFonts w:hint="default" w:ascii="Times New Roman" w:hAnsi="Times New Roman" w:eastAsia="仿宋_GB2312" w:cs="Times New Roman"/>
          <w:color w:val="auto"/>
          <w:sz w:val="32"/>
          <w:szCs w:val="32"/>
          <w:lang w:eastAsia="zh-CN"/>
        </w:rPr>
        <w:t>增加</w:t>
      </w:r>
      <w:r>
        <w:rPr>
          <w:rFonts w:hint="eastAsia" w:eastAsia="仿宋_GB2312" w:cs="Times New Roman"/>
          <w:color w:val="auto"/>
          <w:sz w:val="32"/>
          <w:szCs w:val="32"/>
          <w:lang w:val="en-US" w:eastAsia="zh-CN"/>
        </w:rPr>
        <w:t>37.93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主要增加</w:t>
      </w:r>
      <w:r>
        <w:rPr>
          <w:rFonts w:hint="default" w:ascii="Times New Roman" w:hAnsi="Times New Roman" w:eastAsia="仿宋_GB2312" w:cs="Times New Roman"/>
          <w:color w:val="auto"/>
          <w:sz w:val="32"/>
          <w:szCs w:val="32"/>
        </w:rPr>
        <w:t>原因为</w:t>
      </w:r>
      <w:r>
        <w:rPr>
          <w:rFonts w:hint="default" w:ascii="Times New Roman" w:hAnsi="Times New Roman" w:eastAsia="仿宋_GB2312" w:cs="Times New Roman"/>
          <w:color w:val="auto"/>
          <w:sz w:val="32"/>
          <w:szCs w:val="32"/>
          <w:lang w:eastAsia="zh-CN"/>
        </w:rPr>
        <w:t>：一是</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为评奖年，增加社科评奖奖金，二是增加社科馆建设经费</w:t>
      </w:r>
      <w:r>
        <w:rPr>
          <w:rFonts w:hint="default" w:ascii="Times New Roman" w:hAnsi="Times New Roman" w:eastAsia="仿宋_GB2312" w:cs="Times New Roman"/>
          <w:color w:val="auto"/>
          <w:sz w:val="32"/>
          <w:szCs w:val="32"/>
        </w:rPr>
        <w:t>。</w:t>
      </w:r>
    </w:p>
    <w:p>
      <w:pPr>
        <w:rPr>
          <w:rFonts w:hint="default" w:ascii="Times New Roman" w:hAnsi="Times New Roman" w:cs="Times New Roman"/>
        </w:rPr>
      </w:pPr>
      <w:r>
        <w:rPr>
          <w:rFonts w:hint="default" w:ascii="Times New Roman" w:hAnsi="Times New Roman" w:eastAsia="仿宋" w:cs="Times New Roman"/>
          <w:sz w:val="32"/>
          <w:szCs w:val="32"/>
        </w:rPr>
        <w:drawing>
          <wp:inline distT="0" distB="0" distL="114300" distR="114300">
            <wp:extent cx="5118735" cy="2907030"/>
            <wp:effectExtent l="4445" t="4445" r="20320" b="222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480" w:firstLineChars="200"/>
        <w:jc w:val="center"/>
        <w:rPr>
          <w:rFonts w:hint="default" w:ascii="Times New Roman" w:hAnsi="Times New Roman" w:eastAsia="仿宋" w:cs="Times New Roman"/>
          <w:b/>
          <w:sz w:val="32"/>
          <w:szCs w:val="32"/>
        </w:rPr>
      </w:pPr>
      <w:r>
        <w:rPr>
          <w:rFonts w:hint="default" w:ascii="Times New Roman" w:hAnsi="Times New Roman" w:eastAsia="仿宋" w:cs="Times New Roman"/>
          <w:color w:val="000000"/>
          <w:sz w:val="24"/>
        </w:rPr>
        <w:t>图4：财政拨款收、支决算总计变动情况（单位：万元）</w:t>
      </w:r>
    </w:p>
    <w:p>
      <w:pPr>
        <w:spacing w:line="600" w:lineRule="exact"/>
        <w:ind w:firstLine="640" w:firstLineChars="200"/>
        <w:outlineLvl w:val="1"/>
        <w:rPr>
          <w:rStyle w:val="27"/>
          <w:rFonts w:hint="default" w:ascii="Times New Roman" w:hAnsi="Times New Roman" w:eastAsia="黑体" w:cs="Times New Roman"/>
          <w:b w:val="0"/>
        </w:rPr>
      </w:pPr>
      <w:bookmarkStart w:id="24" w:name="_Toc15396607"/>
      <w:bookmarkStart w:id="25" w:name="_Toc15377209"/>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27"/>
          <w:rFonts w:hint="default" w:ascii="Times New Roman" w:hAnsi="Times New Roman" w:eastAsia="黑体" w:cs="Times New Roman"/>
          <w:b w:val="0"/>
        </w:rPr>
        <w:t>般公共预算财政拨款支出决算情况说明</w:t>
      </w:r>
      <w:bookmarkEnd w:id="24"/>
      <w:bookmarkEnd w:id="25"/>
    </w:p>
    <w:p>
      <w:pPr>
        <w:spacing w:line="600" w:lineRule="exact"/>
        <w:ind w:firstLine="642" w:firstLineChars="200"/>
        <w:outlineLvl w:val="2"/>
        <w:rPr>
          <w:rFonts w:hint="default" w:ascii="Times New Roman" w:hAnsi="Times New Roman" w:eastAsia="仿宋" w:cs="Times New Roman"/>
          <w:b/>
          <w:sz w:val="32"/>
          <w:szCs w:val="32"/>
        </w:rPr>
      </w:pPr>
      <w:bookmarkStart w:id="26" w:name="_Toc15377210"/>
      <w:r>
        <w:rPr>
          <w:rFonts w:hint="default" w:ascii="Times New Roman" w:hAnsi="Times New Roman" w:eastAsia="仿宋" w:cs="Times New Roman"/>
          <w:b/>
          <w:sz w:val="32"/>
          <w:szCs w:val="32"/>
        </w:rPr>
        <w:t>（一）一般公共预算财政拨款支出决算总体情况</w:t>
      </w:r>
      <w:bookmarkEnd w:id="26"/>
    </w:p>
    <w:p>
      <w:pPr>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年一般公共预算财政拨款支出</w:t>
      </w:r>
      <w:r>
        <w:rPr>
          <w:rFonts w:hint="default" w:ascii="Times New Roman" w:hAnsi="Times New Roman" w:eastAsia="仿宋_GB2312" w:cs="Times New Roman"/>
          <w:sz w:val="32"/>
          <w:szCs w:val="32"/>
        </w:rPr>
        <w:t>4600.31</w:t>
      </w:r>
      <w:r>
        <w:rPr>
          <w:rFonts w:hint="default" w:ascii="Times New Roman" w:hAnsi="Times New Roman" w:eastAsia="仿宋" w:cs="Times New Roman"/>
          <w:sz w:val="32"/>
          <w:szCs w:val="32"/>
        </w:rPr>
        <w:t>万元，占本年支出合计的</w:t>
      </w:r>
      <w:r>
        <w:rPr>
          <w:rFonts w:hint="default" w:ascii="Times New Roman" w:hAnsi="Times New Roman" w:eastAsia="仿宋_GB2312" w:cs="Times New Roman"/>
          <w:color w:val="000000"/>
          <w:sz w:val="32"/>
          <w:szCs w:val="32"/>
        </w:rPr>
        <w:t>100</w:t>
      </w:r>
      <w:r>
        <w:rPr>
          <w:rFonts w:hint="default" w:ascii="Times New Roman" w:hAnsi="Times New Roman" w:eastAsia="仿宋" w:cs="Times New Roman"/>
          <w:sz w:val="32"/>
          <w:szCs w:val="32"/>
        </w:rPr>
        <w:t>%。与20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年相比，一般公共预算财政拨</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1265.03</w:t>
      </w:r>
      <w:r>
        <w:rPr>
          <w:rFonts w:hint="default" w:ascii="Times New Roman" w:hAnsi="Times New Roman" w:eastAsia="仿宋" w:cs="Times New Roman"/>
          <w:sz w:val="32"/>
          <w:szCs w:val="32"/>
        </w:rPr>
        <w:t>万元，</w:t>
      </w:r>
      <w:r>
        <w:rPr>
          <w:rFonts w:hint="default" w:ascii="Times New Roman" w:hAnsi="Times New Roman" w:eastAsia="仿宋_GB2312" w:cs="Times New Roman"/>
          <w:color w:val="auto"/>
          <w:sz w:val="32"/>
          <w:szCs w:val="32"/>
          <w:lang w:eastAsia="zh-CN"/>
        </w:rPr>
        <w:t>增加</w:t>
      </w:r>
      <w:r>
        <w:rPr>
          <w:rFonts w:hint="eastAsia" w:eastAsia="仿宋_GB2312" w:cs="Times New Roman"/>
          <w:color w:val="auto"/>
          <w:sz w:val="32"/>
          <w:szCs w:val="32"/>
          <w:lang w:val="en-US" w:eastAsia="zh-CN"/>
        </w:rPr>
        <w:t>37.93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主要增加</w:t>
      </w:r>
      <w:r>
        <w:rPr>
          <w:rFonts w:hint="default" w:ascii="Times New Roman" w:hAnsi="Times New Roman" w:eastAsia="仿宋_GB2312" w:cs="Times New Roman"/>
          <w:color w:val="auto"/>
          <w:sz w:val="32"/>
          <w:szCs w:val="32"/>
        </w:rPr>
        <w:t>原因为</w:t>
      </w:r>
      <w:r>
        <w:rPr>
          <w:rFonts w:hint="default" w:ascii="Times New Roman" w:hAnsi="Times New Roman" w:eastAsia="仿宋_GB2312" w:cs="Times New Roman"/>
          <w:color w:val="auto"/>
          <w:sz w:val="32"/>
          <w:szCs w:val="32"/>
          <w:lang w:eastAsia="zh-CN"/>
        </w:rPr>
        <w:t>：一是</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为评奖年，增加社科评奖奖金，二是增加社科馆建设经费</w:t>
      </w:r>
      <w:r>
        <w:rPr>
          <w:rFonts w:hint="default" w:ascii="Times New Roman" w:hAnsi="Times New Roman" w:eastAsia="仿宋_GB2312" w:cs="Times New Roman"/>
          <w:color w:val="auto"/>
          <w:sz w:val="32"/>
          <w:szCs w:val="32"/>
        </w:rPr>
        <w:t>。</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drawing>
          <wp:inline distT="0" distB="0" distL="114300" distR="114300">
            <wp:extent cx="5120640" cy="2077720"/>
            <wp:effectExtent l="5080" t="4445" r="17780" b="1333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480" w:firstLineChars="200"/>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图5：一般公共预算财政拨款支出决算变动情况（单位：万元）</w:t>
      </w:r>
    </w:p>
    <w:p>
      <w:pPr>
        <w:spacing w:line="600" w:lineRule="exact"/>
        <w:ind w:firstLine="642" w:firstLineChars="200"/>
        <w:outlineLvl w:val="2"/>
        <w:rPr>
          <w:rFonts w:hint="default" w:ascii="Times New Roman" w:hAnsi="Times New Roman" w:eastAsia="仿宋" w:cs="Times New Roman"/>
          <w:b/>
          <w:sz w:val="32"/>
          <w:szCs w:val="32"/>
        </w:rPr>
      </w:pPr>
      <w:bookmarkStart w:id="27" w:name="_Toc15377211"/>
      <w:r>
        <w:rPr>
          <w:rFonts w:hint="default" w:ascii="Times New Roman" w:hAnsi="Times New Roman" w:eastAsia="仿宋" w:cs="Times New Roman"/>
          <w:b/>
          <w:sz w:val="32"/>
          <w:szCs w:val="32"/>
        </w:rPr>
        <w:t>（二）一般公共预算财政拨款支出决算结构情况</w:t>
      </w:r>
      <w:bookmarkEnd w:id="27"/>
    </w:p>
    <w:p>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rPr>
        <w:drawing>
          <wp:anchor distT="0" distB="0" distL="114300" distR="114300" simplePos="0" relativeHeight="251659264" behindDoc="0" locked="0" layoutInCell="1" allowOverlap="1">
            <wp:simplePos x="0" y="0"/>
            <wp:positionH relativeFrom="column">
              <wp:posOffset>-52070</wp:posOffset>
            </wp:positionH>
            <wp:positionV relativeFrom="paragraph">
              <wp:posOffset>2698750</wp:posOffset>
            </wp:positionV>
            <wp:extent cx="5622290" cy="3058160"/>
            <wp:effectExtent l="4445" t="4445" r="12065" b="2349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年一般公共预算财政拨款支出4600.31万元，主要用于以下方面:一般公共服务支出</w:t>
      </w:r>
      <w:r>
        <w:rPr>
          <w:rFonts w:hint="default" w:ascii="Times New Roman" w:hAnsi="Times New Roman" w:eastAsia="仿宋" w:cs="Times New Roman"/>
          <w:sz w:val="32"/>
          <w:szCs w:val="32"/>
          <w:lang w:eastAsia="zh-CN"/>
        </w:rPr>
        <w:t>（类）</w:t>
      </w:r>
      <w:r>
        <w:rPr>
          <w:rFonts w:hint="default" w:ascii="Times New Roman" w:hAnsi="Times New Roman" w:eastAsia="仿宋" w:cs="Times New Roman"/>
          <w:sz w:val="32"/>
          <w:szCs w:val="32"/>
          <w:lang w:val="en-US" w:eastAsia="zh-CN"/>
        </w:rPr>
        <w:t>2.4万元，</w:t>
      </w:r>
      <w:r>
        <w:rPr>
          <w:rFonts w:hint="default" w:ascii="Times New Roman" w:hAnsi="Times New Roman" w:eastAsia="仿宋" w:cs="Times New Roman"/>
          <w:sz w:val="32"/>
          <w:szCs w:val="32"/>
        </w:rPr>
        <w:t>占0.</w:t>
      </w:r>
      <w:r>
        <w:rPr>
          <w:rFonts w:hint="default" w:ascii="Times New Roman" w:hAnsi="Times New Roman" w:eastAsia="仿宋" w:cs="Times New Roman"/>
          <w:sz w:val="32"/>
          <w:szCs w:val="32"/>
          <w:lang w:val="en-US" w:eastAsia="zh-CN"/>
        </w:rPr>
        <w:t>05</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教育支出（类）8.98万元，占0.1</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%；科学技术（类）支出3859.53万元，占83.</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%；文化旅游体育与传媒（类）支出5</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万元，占1.</w:t>
      </w:r>
      <w:r>
        <w:rPr>
          <w:rFonts w:hint="default" w:ascii="Times New Roman" w:hAnsi="Times New Roman" w:eastAsia="仿宋" w:cs="Times New Roman"/>
          <w:sz w:val="32"/>
          <w:szCs w:val="32"/>
          <w:lang w:val="en-US" w:eastAsia="zh-CN"/>
        </w:rPr>
        <w:t>09</w:t>
      </w:r>
      <w:r>
        <w:rPr>
          <w:rFonts w:hint="default" w:ascii="Times New Roman" w:hAnsi="Times New Roman" w:eastAsia="仿宋" w:cs="Times New Roman"/>
          <w:sz w:val="32"/>
          <w:szCs w:val="32"/>
        </w:rPr>
        <w:t>%；社会保障和就业（类）支出424.01万元，占</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%；卫生健康支出（类）69.98万元，占1.</w:t>
      </w:r>
      <w:r>
        <w:rPr>
          <w:rFonts w:hint="default" w:ascii="Times New Roman" w:hAnsi="Times New Roman" w:eastAsia="仿宋" w:cs="Times New Roman"/>
          <w:sz w:val="32"/>
          <w:szCs w:val="32"/>
          <w:lang w:val="en-US" w:eastAsia="zh-CN"/>
        </w:rPr>
        <w:t>52</w:t>
      </w:r>
      <w:r>
        <w:rPr>
          <w:rFonts w:hint="default" w:ascii="Times New Roman" w:hAnsi="Times New Roman" w:eastAsia="仿宋" w:cs="Times New Roman"/>
          <w:sz w:val="32"/>
          <w:szCs w:val="32"/>
        </w:rPr>
        <w:t>%；住房保障支出（类）185.41万元，占</w:t>
      </w:r>
      <w:r>
        <w:rPr>
          <w:rFonts w:hint="default" w:ascii="Times New Roman" w:hAnsi="Times New Roman" w:eastAsia="仿宋" w:cs="Times New Roman"/>
          <w:sz w:val="32"/>
          <w:szCs w:val="32"/>
          <w:lang w:val="en-US" w:eastAsia="zh-CN"/>
        </w:rPr>
        <w:t>4.03</w:t>
      </w:r>
      <w:r>
        <w:rPr>
          <w:rFonts w:hint="default" w:ascii="Times New Roman" w:hAnsi="Times New Roman" w:eastAsia="仿宋" w:cs="Times New Roman"/>
          <w:sz w:val="32"/>
          <w:szCs w:val="32"/>
        </w:rPr>
        <w:t>%。</w:t>
      </w:r>
    </w:p>
    <w:p>
      <w:pPr>
        <w:spacing w:line="600" w:lineRule="exact"/>
        <w:ind w:firstLine="960" w:firstLineChars="400"/>
        <w:rPr>
          <w:rFonts w:hint="default" w:ascii="Times New Roman" w:hAnsi="Times New Roman" w:eastAsia="仿宋" w:cs="Times New Roman"/>
          <w:b/>
          <w:sz w:val="32"/>
          <w:szCs w:val="32"/>
        </w:rPr>
      </w:pPr>
      <w:r>
        <w:rPr>
          <w:rFonts w:hint="default" w:ascii="Times New Roman" w:hAnsi="Times New Roman" w:eastAsia="仿宋" w:cs="Times New Roman"/>
          <w:color w:val="000000"/>
          <w:sz w:val="24"/>
        </w:rPr>
        <w:t>图6：一般公共预算财政拨款支出决算结构（单位：万元）</w:t>
      </w:r>
      <w:bookmarkStart w:id="28" w:name="_Toc15377212"/>
    </w:p>
    <w:p>
      <w:pPr>
        <w:spacing w:line="600" w:lineRule="exact"/>
        <w:ind w:firstLine="642" w:firstLineChars="200"/>
        <w:outlineLvl w:val="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（三）一般公共预算财政拨款支出决算具体情况</w:t>
      </w:r>
      <w:bookmarkEnd w:id="28"/>
    </w:p>
    <w:p>
      <w:pPr>
        <w:spacing w:line="600" w:lineRule="exact"/>
        <w:ind w:firstLine="642" w:firstLineChars="200"/>
        <w:outlineLvl w:val="2"/>
        <w:rPr>
          <w:rFonts w:hint="default" w:ascii="Times New Roman" w:hAnsi="Times New Roman" w:eastAsia="仿宋" w:cs="Times New Roman"/>
          <w:sz w:val="32"/>
          <w:szCs w:val="32"/>
        </w:rPr>
      </w:pPr>
      <w:bookmarkStart w:id="29" w:name="_Toc15378460"/>
      <w:bookmarkStart w:id="30" w:name="_Toc15377213"/>
      <w:bookmarkStart w:id="31" w:name="_Toc15377444"/>
      <w:r>
        <w:rPr>
          <w:rFonts w:hint="default" w:ascii="Times New Roman" w:hAnsi="Times New Roman" w:eastAsia="仿宋" w:cs="Times New Roman"/>
          <w:b/>
          <w:sz w:val="32"/>
          <w:szCs w:val="32"/>
        </w:rPr>
        <w:t>202</w:t>
      </w:r>
      <w:r>
        <w:rPr>
          <w:rFonts w:hint="default" w:ascii="Times New Roman" w:hAnsi="Times New Roman" w:eastAsia="仿宋" w:cs="Times New Roman"/>
          <w:b/>
          <w:sz w:val="32"/>
          <w:szCs w:val="32"/>
          <w:lang w:val="en-US" w:eastAsia="zh-CN"/>
        </w:rPr>
        <w:t>1</w:t>
      </w:r>
      <w:r>
        <w:rPr>
          <w:rFonts w:hint="default" w:ascii="Times New Roman" w:hAnsi="Times New Roman" w:eastAsia="仿宋" w:cs="Times New Roman"/>
          <w:b/>
          <w:sz w:val="32"/>
          <w:szCs w:val="32"/>
        </w:rPr>
        <w:t>年一般公共预算支出决算数为4600.31，</w:t>
      </w:r>
      <w:r>
        <w:rPr>
          <w:rStyle w:val="16"/>
          <w:rFonts w:hint="default" w:ascii="Times New Roman" w:hAnsi="Times New Roman" w:eastAsia="仿宋" w:cs="Times New Roman"/>
          <w:bCs/>
          <w:sz w:val="32"/>
          <w:szCs w:val="32"/>
        </w:rPr>
        <w:t>完成预算</w:t>
      </w:r>
      <w:r>
        <w:rPr>
          <w:rStyle w:val="16"/>
          <w:rFonts w:hint="eastAsia" w:eastAsia="仿宋" w:cs="Times New Roman"/>
          <w:bCs/>
          <w:sz w:val="32"/>
          <w:szCs w:val="32"/>
          <w:lang w:val="en-US" w:eastAsia="zh-CN"/>
        </w:rPr>
        <w:t>89.64</w:t>
      </w:r>
      <w:r>
        <w:rPr>
          <w:rStyle w:val="16"/>
          <w:rFonts w:hint="default" w:ascii="Times New Roman" w:hAnsi="Times New Roman" w:eastAsia="仿宋" w:cs="Times New Roman"/>
          <w:bCs/>
          <w:sz w:val="32"/>
          <w:szCs w:val="32"/>
        </w:rPr>
        <w:t>%。其中：</w:t>
      </w:r>
      <w:bookmarkEnd w:id="29"/>
      <w:bookmarkEnd w:id="30"/>
      <w:bookmarkEnd w:id="31"/>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 w:cs="Times New Roman"/>
          <w:sz w:val="32"/>
          <w:szCs w:val="32"/>
        </w:rPr>
        <w:t>一般公共服务支出</w:t>
      </w:r>
      <w:r>
        <w:rPr>
          <w:rFonts w:hint="default" w:ascii="Times New Roman" w:hAnsi="Times New Roman" w:eastAsia="仿宋" w:cs="Times New Roman"/>
          <w:sz w:val="32"/>
          <w:szCs w:val="32"/>
          <w:lang w:eastAsia="zh-CN"/>
        </w:rPr>
        <w:t>（类）</w:t>
      </w:r>
      <w:r>
        <w:rPr>
          <w:rFonts w:hint="default" w:ascii="Times New Roman" w:hAnsi="Times New Roman" w:eastAsia="仿宋_GB2312" w:cs="Times New Roman"/>
          <w:sz w:val="32"/>
          <w:szCs w:val="32"/>
        </w:rPr>
        <w:t>其他共产党事务支出（款）其他共产党事务支出（项）</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支出决算为</w:t>
      </w:r>
      <w:r>
        <w:rPr>
          <w:rFonts w:hint="default" w:ascii="Times New Roman" w:hAnsi="Times New Roman" w:eastAsia="仿宋" w:cs="Times New Roman"/>
          <w:color w:val="000000"/>
          <w:sz w:val="32"/>
          <w:szCs w:val="32"/>
          <w:lang w:val="en-US" w:eastAsia="zh-CN"/>
        </w:rPr>
        <w:t>2.4</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.教育支出（类）进修及培训（款）培训支出（项）</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支出决算为</w:t>
      </w:r>
      <w:r>
        <w:rPr>
          <w:rFonts w:hint="default" w:ascii="Times New Roman" w:hAnsi="Times New Roman" w:eastAsia="仿宋" w:cs="Times New Roman"/>
          <w:sz w:val="32"/>
          <w:szCs w:val="32"/>
        </w:rPr>
        <w:t>8.98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46.84</w:t>
      </w:r>
      <w:r>
        <w:rPr>
          <w:rFonts w:hint="default" w:ascii="Times New Roman" w:hAnsi="Times New Roman" w:eastAsia="仿宋_GB2312" w:cs="Times New Roman"/>
          <w:sz w:val="32"/>
          <w:szCs w:val="32"/>
        </w:rPr>
        <w:t>%，决算数小于预算数的主要原因是：因202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年疫情特殊情况，取消线下培训</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.科学技术支出（类）科学技术管理事务（款）行政运行（项）:支出决算为936.63万元，完成预算99</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4.科学技术支出（类）社会科学（款）社会科学研究（项）：</w:t>
      </w:r>
      <w:r>
        <w:rPr>
          <w:rStyle w:val="16"/>
          <w:rFonts w:hint="default" w:ascii="Times New Roman" w:hAnsi="Times New Roman" w:eastAsia="仿宋" w:cs="Times New Roman"/>
          <w:b w:val="0"/>
          <w:bCs/>
          <w:color w:val="000000"/>
          <w:sz w:val="32"/>
          <w:szCs w:val="32"/>
        </w:rPr>
        <w:t>支出决算为</w:t>
      </w:r>
      <w:r>
        <w:rPr>
          <w:rFonts w:hint="default" w:ascii="Times New Roman" w:hAnsi="Times New Roman" w:eastAsia="仿宋_GB2312" w:cs="Times New Roman"/>
          <w:sz w:val="32"/>
          <w:szCs w:val="32"/>
        </w:rPr>
        <w:t>930.13万元，完成预算9</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%，决算数小于预算数的主要原因是：有部分课题未结项，导致决算数小于预算数。</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5.科学技术支出（类）社会科学（款）其他社会科学支出（项）：支出决算为1992.77万元，完成预算</w:t>
      </w:r>
      <w:r>
        <w:rPr>
          <w:rFonts w:hint="default" w:ascii="Times New Roman" w:hAnsi="Times New Roman" w:eastAsia="仿宋_GB2312" w:cs="Times New Roman"/>
          <w:sz w:val="32"/>
          <w:szCs w:val="32"/>
          <w:lang w:val="en-US" w:eastAsia="zh-CN"/>
        </w:rPr>
        <w:t>75.8</w:t>
      </w:r>
      <w:r>
        <w:rPr>
          <w:rFonts w:hint="default" w:ascii="Times New Roman" w:hAnsi="Times New Roman" w:eastAsia="仿宋_GB2312" w:cs="Times New Roman"/>
          <w:sz w:val="32"/>
          <w:szCs w:val="32"/>
        </w:rPr>
        <w:t>%，决算数小于预算数的主要原因是：四川省社科馆为代建工程四川社会科学馆为代建项目，于2021年</w:t>
      </w:r>
      <w:r>
        <w:rPr>
          <w:rFonts w:hint="default" w:ascii="Times New Roman" w:hAnsi="Times New Roman" w:eastAsia="仿宋_GB2312" w:cs="Times New Roman"/>
          <w:sz w:val="32"/>
          <w:szCs w:val="32"/>
          <w:lang w:val="en-US" w:eastAsia="zh-CN"/>
        </w:rPr>
        <w:t>年底才</w:t>
      </w:r>
      <w:r>
        <w:rPr>
          <w:rFonts w:hint="default" w:ascii="Times New Roman" w:hAnsi="Times New Roman" w:eastAsia="仿宋_GB2312" w:cs="Times New Roman"/>
          <w:sz w:val="32"/>
          <w:szCs w:val="32"/>
        </w:rPr>
        <w:t>实体移交我单位，导致决算数小于预算数。</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.文化旅游体育与传媒支出（类）其他文化体育与传媒支出（款）宣传文化发展专项支出（项）:支出决算为5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46.3</w:t>
      </w:r>
      <w:r>
        <w:rPr>
          <w:rFonts w:hint="default" w:ascii="Times New Roman" w:hAnsi="Times New Roman" w:eastAsia="仿宋_GB2312" w:cs="Times New Roman"/>
          <w:sz w:val="32"/>
          <w:szCs w:val="32"/>
        </w:rPr>
        <w:t>%，决算数小于预算数的主要原因是：</w:t>
      </w:r>
      <w:r>
        <w:rPr>
          <w:rFonts w:hint="default" w:ascii="Times New Roman" w:hAnsi="Times New Roman" w:eastAsia="仿宋_GB2312" w:cs="Times New Roman"/>
          <w:sz w:val="32"/>
          <w:szCs w:val="32"/>
          <w:lang w:val="en-US" w:eastAsia="zh-CN"/>
        </w:rPr>
        <w:t>该项目为省委宣传部宣文资金项目，安排由我单位组织实施，</w:t>
      </w:r>
      <w:r>
        <w:rPr>
          <w:rFonts w:hint="default" w:ascii="Times New Roman" w:hAnsi="Times New Roman" w:eastAsia="仿宋_GB2312" w:cs="Times New Roman"/>
          <w:sz w:val="32"/>
          <w:szCs w:val="32"/>
          <w:lang w:eastAsia="zh-CN"/>
        </w:rPr>
        <w:t>因项目申报数小于项目立项数，</w:t>
      </w:r>
      <w:r>
        <w:rPr>
          <w:rFonts w:hint="default" w:ascii="Times New Roman" w:hAnsi="Times New Roman" w:eastAsia="仿宋_GB2312" w:cs="Times New Roman"/>
          <w:sz w:val="32"/>
          <w:szCs w:val="32"/>
          <w:lang w:val="en-US" w:eastAsia="zh-CN"/>
        </w:rPr>
        <w:t>未达到评审要求，按省委宣传部要求暂停该项目，</w:t>
      </w:r>
      <w:r>
        <w:rPr>
          <w:rFonts w:hint="default" w:ascii="Times New Roman" w:hAnsi="Times New Roman" w:eastAsia="仿宋_GB2312" w:cs="Times New Roman"/>
          <w:sz w:val="32"/>
          <w:szCs w:val="32"/>
        </w:rPr>
        <w:t>导致决算数小于预算数。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.社会保障和就业支出（类）行政事业单位养老支出（款）行政单位离退休（项）:支出决算为310.48万元，完成预算100%。</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.社会保障和就业支出（类）行政事业单位养老支出（款）机关事业单位基本养老保险缴费支出（项）:支出决算为68.81万元，完成预算9</w:t>
      </w:r>
      <w:r>
        <w:rPr>
          <w:rFonts w:hint="default" w:ascii="Times New Roman" w:hAnsi="Times New Roman" w:eastAsia="仿宋_GB2312" w:cs="Times New Roman"/>
          <w:sz w:val="32"/>
          <w:szCs w:val="32"/>
          <w:lang w:val="en-US" w:eastAsia="zh-CN"/>
        </w:rPr>
        <w:t>9.4</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.社会保障和就业支出（类）行政事业单位养老支出（款） 机关事业单位职业年金缴费支出（项）</w:t>
      </w:r>
      <w:r>
        <w:rPr>
          <w:rFonts w:hint="default" w:ascii="Times New Roman" w:hAnsi="Times New Roman" w:eastAsia="仿宋_GB2312" w:cs="Times New Roman"/>
          <w:b/>
          <w:bCs/>
          <w:sz w:val="32"/>
          <w:szCs w:val="32"/>
        </w:rPr>
        <w:t>:</w:t>
      </w:r>
      <w:r>
        <w:rPr>
          <w:rStyle w:val="16"/>
          <w:rFonts w:hint="default" w:ascii="Times New Roman" w:hAnsi="Times New Roman" w:eastAsia="仿宋" w:cs="Times New Roman"/>
          <w:b w:val="0"/>
          <w:bCs/>
          <w:color w:val="000000"/>
          <w:sz w:val="32"/>
          <w:szCs w:val="32"/>
        </w:rPr>
        <w:t>支出决算为</w:t>
      </w:r>
      <w:r>
        <w:rPr>
          <w:rFonts w:hint="default" w:ascii="Times New Roman" w:hAnsi="Times New Roman" w:eastAsia="仿宋_GB2312" w:cs="Times New Roman"/>
          <w:sz w:val="32"/>
          <w:szCs w:val="32"/>
        </w:rPr>
        <w:t>12.31万元，完成预算9</w:t>
      </w:r>
      <w:r>
        <w:rPr>
          <w:rFonts w:hint="default" w:ascii="Times New Roman" w:hAnsi="Times New Roman" w:eastAsia="仿宋_GB2312" w:cs="Times New Roman"/>
          <w:sz w:val="32"/>
          <w:szCs w:val="32"/>
          <w:lang w:val="en-US" w:eastAsia="zh-CN"/>
        </w:rPr>
        <w:t>9.4</w:t>
      </w:r>
      <w:r>
        <w:rPr>
          <w:rFonts w:hint="default" w:ascii="Times New Roman" w:hAnsi="Times New Roman" w:eastAsia="仿宋_GB2312" w:cs="Times New Roman"/>
          <w:sz w:val="32"/>
          <w:szCs w:val="32"/>
        </w:rPr>
        <w:t>%。</w:t>
      </w:r>
    </w:p>
    <w:p>
      <w:pPr>
        <w:pStyle w:val="2"/>
        <w:rPr>
          <w:rFonts w:hint="default" w:ascii="Times New Roman" w:hAnsi="Times New Roman" w:eastAsia="仿宋_GB2312" w:cs="Times New Roman"/>
          <w:lang w:val="en-US" w:eastAsia="zh-CN"/>
        </w:rPr>
      </w:pPr>
      <w:r>
        <w:rPr>
          <w:rFonts w:hint="default" w:ascii="Times New Roman" w:hAnsi="Times New Roman" w:cs="Times New Roman"/>
          <w:sz w:val="32"/>
          <w:szCs w:val="32"/>
          <w:lang w:val="en-US" w:eastAsia="zh-CN"/>
        </w:rPr>
        <w:t xml:space="preserve">    10.</w:t>
      </w:r>
      <w:r>
        <w:rPr>
          <w:rFonts w:hint="default" w:ascii="Times New Roman" w:hAnsi="Times New Roman" w:eastAsia="仿宋_GB2312" w:cs="Times New Roman"/>
          <w:sz w:val="32"/>
          <w:szCs w:val="32"/>
        </w:rPr>
        <w:t>社会保障和就业支出（类）</w:t>
      </w:r>
      <w:r>
        <w:rPr>
          <w:rFonts w:hint="default" w:ascii="Times New Roman" w:hAnsi="Times New Roman" w:cs="Times New Roman"/>
          <w:sz w:val="32"/>
          <w:szCs w:val="32"/>
          <w:lang w:val="en-US" w:eastAsia="zh-CN"/>
        </w:rPr>
        <w:t>抚恤</w:t>
      </w:r>
      <w:r>
        <w:rPr>
          <w:rFonts w:hint="default" w:ascii="Times New Roman" w:hAnsi="Times New Roman" w:eastAsia="仿宋_GB2312" w:cs="Times New Roman"/>
          <w:sz w:val="32"/>
          <w:szCs w:val="32"/>
        </w:rPr>
        <w:t>（款）死亡抚恤（项）</w:t>
      </w:r>
      <w:r>
        <w:rPr>
          <w:rFonts w:hint="default" w:ascii="Times New Roman" w:hAnsi="Times New Roman" w:eastAsia="仿宋_GB2312" w:cs="Times New Roman"/>
          <w:b/>
          <w:bCs/>
          <w:sz w:val="32"/>
          <w:szCs w:val="32"/>
        </w:rPr>
        <w:t>:</w:t>
      </w:r>
      <w:r>
        <w:rPr>
          <w:rStyle w:val="16"/>
          <w:rFonts w:hint="default" w:ascii="Times New Roman" w:hAnsi="Times New Roman" w:eastAsia="仿宋" w:cs="Times New Roman"/>
          <w:b w:val="0"/>
          <w:bCs/>
          <w:color w:val="000000"/>
          <w:sz w:val="32"/>
          <w:szCs w:val="32"/>
        </w:rPr>
        <w:t>支出决算为</w:t>
      </w:r>
      <w:r>
        <w:rPr>
          <w:rFonts w:hint="default" w:ascii="Times New Roman" w:hAnsi="Times New Roman" w:eastAsia="仿宋_GB2312" w:cs="Times New Roman"/>
          <w:sz w:val="32"/>
          <w:szCs w:val="32"/>
        </w:rPr>
        <w:t>32.41万元，完成预算100%。</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.卫生健康支出（类）行政事业单位医疗（款）公务员医疗补助（项）</w:t>
      </w:r>
      <w:r>
        <w:rPr>
          <w:rFonts w:hint="default" w:ascii="Times New Roman" w:hAnsi="Times New Roman" w:eastAsia="仿宋_GB2312" w:cs="Times New Roman"/>
          <w:b/>
          <w:bCs/>
          <w:sz w:val="32"/>
          <w:szCs w:val="32"/>
        </w:rPr>
        <w:t>:</w:t>
      </w:r>
      <w:r>
        <w:rPr>
          <w:rStyle w:val="16"/>
          <w:rFonts w:hint="default" w:ascii="Times New Roman" w:hAnsi="Times New Roman" w:eastAsia="仿宋" w:cs="Times New Roman"/>
          <w:b w:val="0"/>
          <w:bCs/>
          <w:color w:val="000000"/>
          <w:sz w:val="32"/>
          <w:szCs w:val="32"/>
        </w:rPr>
        <w:t>支出决算为</w:t>
      </w:r>
      <w:r>
        <w:rPr>
          <w:rFonts w:hint="default" w:ascii="Times New Roman" w:hAnsi="Times New Roman" w:eastAsia="仿宋_GB2312" w:cs="Times New Roman"/>
          <w:sz w:val="32"/>
          <w:szCs w:val="32"/>
        </w:rPr>
        <w:t>15.27万元，完成预算100%。</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.卫生健康支出（类）行政事业单位医疗（款）行政单位医疗（项）</w:t>
      </w:r>
      <w:r>
        <w:rPr>
          <w:rFonts w:hint="default" w:ascii="Times New Roman" w:hAnsi="Times New Roman" w:eastAsia="仿宋_GB2312" w:cs="Times New Roman"/>
          <w:b/>
          <w:bCs/>
          <w:sz w:val="32"/>
          <w:szCs w:val="32"/>
        </w:rPr>
        <w:t>:</w:t>
      </w:r>
      <w:r>
        <w:rPr>
          <w:rStyle w:val="16"/>
          <w:rFonts w:hint="default" w:ascii="Times New Roman" w:hAnsi="Times New Roman" w:eastAsia="仿宋" w:cs="Times New Roman"/>
          <w:b w:val="0"/>
          <w:bCs/>
          <w:color w:val="000000"/>
          <w:sz w:val="32"/>
          <w:szCs w:val="32"/>
        </w:rPr>
        <w:t>支出决算为</w:t>
      </w:r>
      <w:r>
        <w:rPr>
          <w:rFonts w:hint="default" w:ascii="Times New Roman" w:hAnsi="Times New Roman" w:eastAsia="仿宋_GB2312" w:cs="Times New Roman"/>
          <w:sz w:val="32"/>
          <w:szCs w:val="32"/>
        </w:rPr>
        <w:t>54.71万元，完成预算100%。</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.住房保障支出（类）住房改革支出（款）住房公积金（项）:支出决算为69.84万元，完成预算100%。</w:t>
      </w:r>
    </w:p>
    <w:p>
      <w:pPr>
        <w:ind w:firstLine="320" w:firstLineChars="100"/>
        <w:rPr>
          <w:rFonts w:hint="default" w:ascii="Times New Roman" w:hAnsi="Times New Roman" w:eastAsia="仿宋" w:cs="Times New Roman"/>
          <w:b/>
          <w:sz w:val="32"/>
          <w:szCs w:val="32"/>
        </w:rPr>
      </w:pPr>
      <w:r>
        <w:rPr>
          <w:rFonts w:hint="default" w:ascii="Times New Roman" w:hAnsi="Times New Roman" w:eastAsia="仿宋_GB2312" w:cs="Times New Roman"/>
          <w:sz w:val="32"/>
          <w:szCs w:val="32"/>
        </w:rPr>
        <w:t>　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.住房保障支出（类）住房改革支出（款）购房补贴（项）:支出决算为115.57万元，完成预算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tabs>
          <w:tab w:val="right" w:pos="8306"/>
        </w:tabs>
        <w:spacing w:line="600" w:lineRule="exact"/>
        <w:ind w:firstLine="640"/>
        <w:outlineLvl w:val="1"/>
        <w:rPr>
          <w:rStyle w:val="27"/>
          <w:rFonts w:hint="default" w:ascii="Times New Roman" w:hAnsi="Times New Roman" w:cs="Times New Roman"/>
        </w:rPr>
      </w:pPr>
      <w:bookmarkStart w:id="32" w:name="_Toc15377214"/>
      <w:bookmarkStart w:id="33" w:name="_Toc15396608"/>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7"/>
          <w:rFonts w:hint="default" w:ascii="Times New Roman" w:hAnsi="Times New Roman" w:eastAsia="黑体" w:cs="Times New Roman"/>
          <w:b w:val="0"/>
        </w:rPr>
        <w:t>般公共预算财政拨款基本支出决算情况说明</w:t>
      </w:r>
      <w:bookmarkEnd w:id="32"/>
      <w:bookmarkEnd w:id="33"/>
      <w:r>
        <w:rPr>
          <w:rStyle w:val="27"/>
          <w:rFonts w:hint="default" w:ascii="Times New Roman" w:hAnsi="Times New Roman" w:eastAsia="黑体" w:cs="Times New Roman"/>
          <w:b w:val="0"/>
        </w:rPr>
        <w:tab/>
      </w:r>
    </w:p>
    <w:p>
      <w:pPr>
        <w:spacing w:line="600" w:lineRule="exact"/>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年一般公共预算财政拨款基本支出</w:t>
      </w:r>
      <w:r>
        <w:rPr>
          <w:rFonts w:hint="default" w:ascii="Times New Roman" w:hAnsi="Times New Roman" w:eastAsia="仿宋_GB2312" w:cs="Times New Roman"/>
          <w:sz w:val="32"/>
          <w:szCs w:val="32"/>
        </w:rPr>
        <w:t>1698.2</w:t>
      </w:r>
      <w:r>
        <w:rPr>
          <w:rFonts w:hint="eastAsia" w:eastAsia="仿宋_GB2312" w:cs="Times New Roman"/>
          <w:sz w:val="32"/>
          <w:szCs w:val="32"/>
          <w:lang w:val="en-US" w:eastAsia="zh-CN"/>
        </w:rPr>
        <w:t>4</w:t>
      </w:r>
      <w:r>
        <w:rPr>
          <w:rFonts w:hint="default" w:ascii="Times New Roman" w:hAnsi="Times New Roman" w:eastAsia="仿宋" w:cs="Times New Roman"/>
          <w:sz w:val="32"/>
          <w:szCs w:val="32"/>
        </w:rPr>
        <w:t>万元，其中：</w:t>
      </w:r>
    </w:p>
    <w:p>
      <w:pPr>
        <w:spacing w:line="600" w:lineRule="exact"/>
        <w:ind w:firstLine="645"/>
        <w:rPr>
          <w:rFonts w:hint="default" w:ascii="Times New Roman" w:hAnsi="Times New Roman" w:eastAsia="仿宋_GB2312" w:cs="Times New Roman"/>
          <w:sz w:val="32"/>
          <w:szCs w:val="32"/>
          <w:lang w:eastAsia="zh-CN"/>
        </w:rPr>
      </w:pPr>
      <w:r>
        <w:rPr>
          <w:rFonts w:hint="default" w:ascii="Times New Roman" w:hAnsi="Times New Roman" w:eastAsia="仿宋" w:cs="Times New Roman"/>
          <w:color w:val="000000"/>
          <w:sz w:val="32"/>
          <w:szCs w:val="32"/>
        </w:rPr>
        <w:t>人员经费</w:t>
      </w:r>
      <w:r>
        <w:rPr>
          <w:rFonts w:hint="default" w:ascii="Times New Roman" w:hAnsi="Times New Roman" w:eastAsia="仿宋_GB2312" w:cs="Times New Roman"/>
          <w:color w:val="000000"/>
          <w:sz w:val="28"/>
          <w:szCs w:val="32"/>
        </w:rPr>
        <w:t>1357.6</w:t>
      </w:r>
      <w:r>
        <w:rPr>
          <w:rFonts w:hint="default" w:ascii="Times New Roman" w:hAnsi="Times New Roman" w:eastAsia="仿宋" w:cs="Times New Roman"/>
          <w:color w:val="000000"/>
          <w:sz w:val="32"/>
          <w:szCs w:val="32"/>
        </w:rPr>
        <w:t>万元，主要包括：</w:t>
      </w:r>
      <w:r>
        <w:rPr>
          <w:rFonts w:hint="default" w:ascii="Times New Roman" w:hAnsi="Times New Roman" w:eastAsia="仿宋_GB2312" w:cs="Times New Roman"/>
          <w:sz w:val="32"/>
          <w:szCs w:val="32"/>
        </w:rPr>
        <w:t>基本工资、津贴补贴、奖金、机关事业单位基本养老保险缴费、职业年金缴费、职工基本医疗保险缴费、公务员医疗补助缴费、住房公积金、其他工资福利支出、离休费、抚恤金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生活补助、奖励金、其他个人和家庭的补助支出等。</w:t>
      </w:r>
    </w:p>
    <w:p>
      <w:pPr>
        <w:spacing w:line="600" w:lineRule="exact"/>
        <w:ind w:firstLine="645"/>
        <w:rPr>
          <w:rFonts w:hint="default" w:ascii="Times New Roman" w:hAnsi="Times New Roman" w:eastAsia="仿宋" w:cs="Times New Roman"/>
          <w:b/>
          <w:sz w:val="32"/>
          <w:szCs w:val="32"/>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color w:val="000000"/>
          <w:sz w:val="28"/>
          <w:szCs w:val="32"/>
        </w:rPr>
        <w:t>340.64万</w:t>
      </w:r>
      <w:r>
        <w:rPr>
          <w:rFonts w:hint="default" w:ascii="Times New Roman" w:hAnsi="Times New Roman" w:eastAsia="仿宋_GB2312" w:cs="Times New Roman"/>
          <w:sz w:val="32"/>
          <w:szCs w:val="32"/>
        </w:rPr>
        <w:t>元，主要包括：办公费、印刷费、手续费、水费、电费、邮电费、差旅费、物业管理费、维修（护）费、会议费、培训费、劳务费、公务接待费、公务用车运行维护费、工会经费、福利费、其他交通费、其他商品和服务支出等。</w:t>
      </w:r>
    </w:p>
    <w:p>
      <w:pPr>
        <w:spacing w:line="600" w:lineRule="exact"/>
        <w:ind w:firstLine="640"/>
        <w:outlineLvl w:val="1"/>
        <w:rPr>
          <w:rStyle w:val="27"/>
          <w:rFonts w:hint="default" w:ascii="Times New Roman" w:hAnsi="Times New Roman" w:eastAsia="黑体" w:cs="Times New Roman"/>
          <w:b w:val="0"/>
        </w:rPr>
      </w:pPr>
      <w:bookmarkStart w:id="34" w:name="_Toc15396609"/>
      <w:bookmarkStart w:id="35" w:name="_Toc15377215"/>
      <w:r>
        <w:rPr>
          <w:rFonts w:hint="default" w:ascii="Times New Roman" w:hAnsi="Times New Roman" w:eastAsia="黑体" w:cs="Times New Roman"/>
          <w:sz w:val="32"/>
          <w:szCs w:val="32"/>
        </w:rPr>
        <w:t>七、</w:t>
      </w:r>
      <w:r>
        <w:rPr>
          <w:rStyle w:val="27"/>
          <w:rFonts w:hint="default" w:ascii="Times New Roman" w:hAnsi="Times New Roman" w:eastAsia="黑体" w:cs="Times New Roman"/>
        </w:rPr>
        <w:t>“</w:t>
      </w:r>
      <w:r>
        <w:rPr>
          <w:rStyle w:val="27"/>
          <w:rFonts w:hint="default" w:ascii="Times New Roman" w:hAnsi="Times New Roman" w:eastAsia="黑体" w:cs="Times New Roman"/>
          <w:b w:val="0"/>
        </w:rPr>
        <w:t>三公”经费财政拨款支出决算情况说明</w:t>
      </w:r>
      <w:bookmarkEnd w:id="34"/>
      <w:bookmarkEnd w:id="35"/>
    </w:p>
    <w:p>
      <w:pPr>
        <w:spacing w:line="600" w:lineRule="exact"/>
        <w:ind w:firstLine="640"/>
        <w:outlineLvl w:val="2"/>
        <w:rPr>
          <w:rFonts w:hint="default" w:ascii="Times New Roman" w:hAnsi="Times New Roman" w:eastAsia="仿宋" w:cs="Times New Roman"/>
          <w:b/>
          <w:sz w:val="32"/>
          <w:szCs w:val="32"/>
        </w:rPr>
      </w:pPr>
      <w:bookmarkStart w:id="36" w:name="_Toc15377216"/>
      <w:r>
        <w:rPr>
          <w:rFonts w:hint="default" w:ascii="Times New Roman" w:hAnsi="Times New Roman" w:eastAsia="仿宋" w:cs="Times New Roman"/>
          <w:b/>
          <w:sz w:val="32"/>
          <w:szCs w:val="32"/>
        </w:rPr>
        <w:t>（一）“三公”经费财政拨款支出决算总体情况说明</w:t>
      </w:r>
      <w:bookmarkEnd w:id="36"/>
    </w:p>
    <w:p>
      <w:pPr>
        <w:spacing w:line="600" w:lineRule="exact"/>
        <w:ind w:firstLine="640"/>
        <w:rPr>
          <w:rFonts w:hint="default" w:ascii="Times New Roman" w:hAnsi="Times New Roman" w:eastAsia="仿宋" w:cs="Times New Roman"/>
          <w:b/>
          <w:color w:val="FF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年“三公”经费财政拨款支出决算为12.76万元，完成预算</w:t>
      </w:r>
      <w:r>
        <w:rPr>
          <w:rFonts w:hint="eastAsia" w:eastAsia="仿宋" w:cs="Times New Roman"/>
          <w:color w:val="000000"/>
          <w:sz w:val="32"/>
          <w:szCs w:val="32"/>
          <w:lang w:val="en-US" w:eastAsia="zh-CN"/>
        </w:rPr>
        <w:t>71.56</w:t>
      </w:r>
      <w:r>
        <w:rPr>
          <w:rFonts w:hint="default" w:ascii="Times New Roman" w:hAnsi="Times New Roman" w:eastAsia="仿宋" w:cs="Times New Roman"/>
          <w:color w:val="000000"/>
          <w:sz w:val="32"/>
          <w:szCs w:val="32"/>
        </w:rPr>
        <w:t>%，决算数小于预算数的主要原因是</w:t>
      </w:r>
      <w:r>
        <w:rPr>
          <w:rFonts w:hint="default" w:ascii="Times New Roman" w:hAnsi="Times New Roman" w:eastAsia="仿宋_GB2312" w:cs="Times New Roman"/>
          <w:sz w:val="32"/>
          <w:szCs w:val="32"/>
        </w:rPr>
        <w:t>单位严格执行中央八项规定、省委省政府十项规定和厉行节约反对浪费相关规定，加强公务接待管理，严格执行本单位公务接待标准和相关支出，</w:t>
      </w:r>
      <w:r>
        <w:rPr>
          <w:rFonts w:hint="default" w:ascii="Times New Roman" w:hAnsi="Times New Roman" w:eastAsia="仿宋_GB2312" w:cs="Times New Roman"/>
          <w:sz w:val="32"/>
          <w:szCs w:val="32"/>
          <w:lang w:val="en-US" w:eastAsia="zh-CN"/>
        </w:rPr>
        <w:t>同时受疫情影响来访调研减少，</w:t>
      </w:r>
      <w:r>
        <w:rPr>
          <w:rFonts w:hint="default" w:ascii="Times New Roman" w:hAnsi="Times New Roman" w:eastAsia="仿宋_GB2312" w:cs="Times New Roman"/>
          <w:sz w:val="32"/>
          <w:szCs w:val="32"/>
        </w:rPr>
        <w:t>使单位公务接待费低于预算。</w:t>
      </w:r>
    </w:p>
    <w:p>
      <w:pPr>
        <w:spacing w:line="600" w:lineRule="exact"/>
        <w:ind w:firstLine="640"/>
        <w:outlineLvl w:val="2"/>
        <w:rPr>
          <w:rFonts w:hint="default" w:ascii="Times New Roman" w:hAnsi="Times New Roman" w:eastAsia="仿宋" w:cs="Times New Roman"/>
          <w:b/>
          <w:sz w:val="32"/>
          <w:szCs w:val="32"/>
        </w:rPr>
      </w:pPr>
      <w:bookmarkStart w:id="37" w:name="_Toc15377217"/>
      <w:r>
        <w:rPr>
          <w:rFonts w:hint="default" w:ascii="Times New Roman" w:hAnsi="Times New Roman" w:eastAsia="仿宋" w:cs="Times New Roman"/>
          <w:b/>
          <w:sz w:val="32"/>
          <w:szCs w:val="32"/>
        </w:rPr>
        <w:t>（二）“三公”经费财政拨款支出决算具体情况说明</w:t>
      </w:r>
      <w:bookmarkEnd w:id="37"/>
    </w:p>
    <w:p>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年“三公”经费财政拨款支出决算中，因公出国（境）费支出决算0万元，占0%；公务用车购置及运行维护费支出决算</w:t>
      </w:r>
      <w:r>
        <w:rPr>
          <w:rFonts w:hint="default" w:ascii="Times New Roman" w:hAnsi="Times New Roman" w:eastAsia="仿宋_GB2312" w:cs="Times New Roman"/>
          <w:sz w:val="32"/>
          <w:szCs w:val="32"/>
        </w:rPr>
        <w:t>12.19</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95.53</w:t>
      </w:r>
      <w:r>
        <w:rPr>
          <w:rFonts w:hint="default" w:ascii="Times New Roman" w:hAnsi="Times New Roman" w:eastAsia="仿宋" w:cs="Times New Roman"/>
          <w:sz w:val="32"/>
          <w:szCs w:val="32"/>
        </w:rPr>
        <w:t>%；公务接待费支出决算</w:t>
      </w:r>
      <w:r>
        <w:rPr>
          <w:rFonts w:hint="default" w:ascii="Times New Roman" w:hAnsi="Times New Roman" w:eastAsia="仿宋" w:cs="Times New Roman"/>
          <w:color w:val="000000"/>
          <w:sz w:val="32"/>
          <w:szCs w:val="32"/>
        </w:rPr>
        <w:t>0.57</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4.47</w:t>
      </w:r>
      <w:r>
        <w:rPr>
          <w:rFonts w:hint="default" w:ascii="Times New Roman" w:hAnsi="Times New Roman" w:eastAsia="仿宋" w:cs="Times New Roman"/>
          <w:sz w:val="32"/>
          <w:szCs w:val="32"/>
        </w:rPr>
        <w:t>%。具体情况如下：</w:t>
      </w:r>
    </w:p>
    <w:p>
      <w:pPr>
        <w:pStyle w:val="2"/>
        <w:spacing w:before="93"/>
        <w:rPr>
          <w:rFonts w:hint="default" w:ascii="Times New Roman" w:hAnsi="Times New Roman" w:eastAsia="仿宋" w:cs="Times New Roman"/>
          <w:sz w:val="32"/>
          <w:szCs w:val="32"/>
        </w:rPr>
      </w:pPr>
      <w:r>
        <w:rPr>
          <w:rFonts w:hint="default" w:ascii="Times New Roman" w:hAnsi="Times New Roman" w:eastAsia="仿宋" w:cs="Times New Roman"/>
          <w:sz w:val="32"/>
          <w:szCs w:val="32"/>
        </w:rPr>
        <w:drawing>
          <wp:inline distT="0" distB="0" distL="114300" distR="114300">
            <wp:extent cx="5051425" cy="3477260"/>
            <wp:effectExtent l="4445" t="4445" r="11430" b="234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480" w:firstLineChars="200"/>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（图7：“三公”经费财政拨款支出结构）（单位：万元）</w:t>
      </w:r>
    </w:p>
    <w:p>
      <w:pPr>
        <w:ind w:firstLine="640" w:firstLineChars="200"/>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val="0"/>
          <w:bCs/>
          <w:sz w:val="32"/>
          <w:szCs w:val="32"/>
        </w:rPr>
        <w:t>1.</w:t>
      </w:r>
      <w:r>
        <w:rPr>
          <w:rFonts w:hint="default" w:ascii="Times New Roman" w:hAnsi="Times New Roman" w:eastAsia="仿宋_GB2312" w:cs="Times New Roman"/>
          <w:b/>
          <w:bCs w:val="0"/>
          <w:sz w:val="32"/>
          <w:szCs w:val="32"/>
        </w:rPr>
        <w:t>因公出国（境）经费支出</w:t>
      </w:r>
      <w:r>
        <w:rPr>
          <w:rFonts w:hint="default" w:ascii="Times New Roman" w:hAnsi="Times New Roman" w:eastAsia="仿宋_GB2312" w:cs="Times New Roman"/>
          <w:b w:val="0"/>
          <w:bCs/>
          <w:sz w:val="32"/>
          <w:szCs w:val="32"/>
        </w:rPr>
        <w:t>0</w:t>
      </w:r>
      <w:r>
        <w:rPr>
          <w:rFonts w:hint="default" w:ascii="Times New Roman" w:hAnsi="Times New Roman" w:eastAsia="仿宋_GB2312" w:cs="Times New Roman"/>
          <w:sz w:val="32"/>
          <w:szCs w:val="32"/>
        </w:rPr>
        <w:t>万元，</w:t>
      </w:r>
      <w:r>
        <w:rPr>
          <w:rStyle w:val="16"/>
          <w:rFonts w:hint="default" w:ascii="Times New Roman" w:hAnsi="Times New Roman" w:eastAsia="仿宋" w:cs="Times New Roman"/>
          <w:b w:val="0"/>
          <w:bCs/>
          <w:sz w:val="32"/>
          <w:szCs w:val="32"/>
        </w:rPr>
        <w:t>完成预算0%。</w:t>
      </w:r>
      <w:r>
        <w:rPr>
          <w:rFonts w:hint="default" w:ascii="Times New Roman" w:hAnsi="Times New Roman" w:eastAsia="仿宋_GB2312" w:cs="Times New Roman"/>
          <w:sz w:val="32"/>
          <w:szCs w:val="32"/>
        </w:rPr>
        <w:t>全年安排因公出国（境）团组0次，出国（境）0人。因公出国（境）支出决算比2</w:t>
      </w:r>
      <w:r>
        <w:rPr>
          <w:rFonts w:hint="default" w:ascii="Times New Roman" w:hAnsi="Times New Roman" w:eastAsia="仿宋_GB2312" w:cs="Times New Roman"/>
          <w:sz w:val="32"/>
          <w:szCs w:val="32"/>
          <w:lang w:val="en-US" w:eastAsia="zh-CN"/>
        </w:rPr>
        <w:t>020</w:t>
      </w:r>
      <w:r>
        <w:rPr>
          <w:rFonts w:hint="default" w:ascii="Times New Roman" w:hAnsi="Times New Roman" w:eastAsia="仿宋_GB2312" w:cs="Times New Roman"/>
          <w:sz w:val="32"/>
          <w:szCs w:val="32"/>
        </w:rPr>
        <w:t>年减少0万元</w:t>
      </w:r>
      <w:r>
        <w:rPr>
          <w:rFonts w:hint="default" w:ascii="Times New Roman" w:hAnsi="Times New Roman" w:eastAsia="仿宋_GB2312" w:cs="Times New Roman"/>
          <w:sz w:val="32"/>
          <w:szCs w:val="32"/>
          <w:lang w:eastAsia="zh-CN"/>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
          <w:bCs/>
          <w:sz w:val="32"/>
          <w:szCs w:val="32"/>
        </w:rPr>
        <w:t>公务用车购置及运行维护费支出</w:t>
      </w:r>
      <w:r>
        <w:rPr>
          <w:rFonts w:hint="default" w:ascii="Times New Roman" w:hAnsi="Times New Roman" w:eastAsia="仿宋_GB2312" w:cs="Times New Roman"/>
          <w:sz w:val="32"/>
          <w:szCs w:val="32"/>
        </w:rPr>
        <w:t>12.19万元,完成预算</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%。公务用车购置及运行维护费支出决算比</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1.04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增长</w:t>
      </w:r>
      <w:r>
        <w:rPr>
          <w:rFonts w:hint="eastAsia" w:eastAsia="仿宋_GB2312" w:cs="Times New Roman"/>
          <w:sz w:val="32"/>
          <w:szCs w:val="32"/>
          <w:lang w:val="en-US" w:eastAsia="zh-CN"/>
        </w:rPr>
        <w:t>9.33</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eastAsia="zh-CN"/>
        </w:rPr>
        <w:t>因</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车辆保险费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油费上涨等因素影响，导致费用增加</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color w:val="000000"/>
          <w:sz w:val="32"/>
          <w:szCs w:val="32"/>
        </w:rPr>
        <w:t>公务用车购置支出</w:t>
      </w:r>
      <w:r>
        <w:rPr>
          <w:rFonts w:hint="default" w:ascii="Times New Roman" w:hAnsi="Times New Roman" w:eastAsia="仿宋_GB2312" w:cs="Times New Roman"/>
          <w:color w:val="000000"/>
          <w:sz w:val="32"/>
          <w:szCs w:val="32"/>
        </w:rPr>
        <w:t>0万元。截至202</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年12月底，单位共有公务用车4辆，其中：轿车4辆、越野车0辆、载客汽车0辆。</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公务用车运行维护费支出</w:t>
      </w:r>
      <w:r>
        <w:rPr>
          <w:rFonts w:hint="default" w:ascii="Times New Roman" w:hAnsi="Times New Roman" w:eastAsia="仿宋_GB2312" w:cs="Times New Roman"/>
          <w:sz w:val="32"/>
          <w:szCs w:val="32"/>
        </w:rPr>
        <w:t>12.19</w:t>
      </w:r>
      <w:r>
        <w:rPr>
          <w:rFonts w:hint="default" w:ascii="Times New Roman" w:hAnsi="Times New Roman" w:eastAsia="仿宋_GB2312" w:cs="Times New Roman"/>
          <w:color w:val="000000"/>
          <w:sz w:val="32"/>
          <w:szCs w:val="32"/>
        </w:rPr>
        <w:t>万元。主要用于</w:t>
      </w:r>
      <w:r>
        <w:rPr>
          <w:rFonts w:hint="default" w:ascii="Times New Roman" w:hAnsi="Times New Roman" w:eastAsia="仿宋_GB2312" w:cs="Times New Roman"/>
          <w:sz w:val="32"/>
          <w:szCs w:val="32"/>
        </w:rPr>
        <w:t>保障社科课题规划、评奖管理工作，对社科课题项目执行的检查，科普条例的宣讲，社科科普活动的开展，社科科普基地的考察、鉴定，社科学术基地的考察、鉴定，社团管理和民办社科机构的管理，高校社科联、科研处的联络，市州(区、县)社科联的联络、调研、工作指导，社科专家数据库的应用培训，社科专家活动，各类学术活动开展，与相关部门的日常业务工作往来时</w:t>
      </w:r>
      <w:r>
        <w:rPr>
          <w:rFonts w:hint="default" w:ascii="Times New Roman" w:hAnsi="Times New Roman" w:eastAsia="仿宋_GB2312" w:cs="Times New Roman"/>
          <w:color w:val="000000"/>
          <w:sz w:val="32"/>
          <w:szCs w:val="32"/>
        </w:rPr>
        <w:t>等所需的公务用车燃料费、维修费、过路过桥费、保险费等支出。</w:t>
      </w:r>
    </w:p>
    <w:p>
      <w:pPr>
        <w:spacing w:line="600" w:lineRule="exact"/>
        <w:ind w:firstLine="640"/>
        <w:rPr>
          <w:rFonts w:hint="default" w:ascii="Times New Roman" w:hAnsi="Times New Roman" w:eastAsia="仿宋_GB2312" w:cs="Times New Roman"/>
          <w:color w:val="000000"/>
          <w:sz w:val="32"/>
          <w:szCs w:val="32"/>
        </w:rPr>
      </w:pPr>
      <w:bookmarkStart w:id="38" w:name="_Toc15396610"/>
      <w:bookmarkStart w:id="39" w:name="_Toc15377218"/>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 w:cs="Times New Roman"/>
          <w:color w:val="000000"/>
          <w:sz w:val="32"/>
          <w:szCs w:val="32"/>
        </w:rPr>
        <w:t>0.</w:t>
      </w:r>
      <w:r>
        <w:rPr>
          <w:rFonts w:hint="default" w:ascii="Times New Roman" w:hAnsi="Times New Roman" w:eastAsia="仿宋" w:cs="Times New Roman"/>
          <w:color w:val="000000"/>
          <w:sz w:val="32"/>
          <w:szCs w:val="32"/>
          <w:lang w:val="en-US" w:eastAsia="zh-CN"/>
        </w:rPr>
        <w:t>57</w:t>
      </w:r>
      <w:r>
        <w:rPr>
          <w:rFonts w:hint="default" w:ascii="Times New Roman" w:hAnsi="Times New Roman" w:eastAsia="仿宋_GB2312" w:cs="Times New Roman"/>
          <w:color w:val="000000"/>
          <w:sz w:val="32"/>
          <w:szCs w:val="32"/>
        </w:rPr>
        <w:t>万元，</w:t>
      </w:r>
      <w:r>
        <w:rPr>
          <w:rStyle w:val="16"/>
          <w:rFonts w:hint="default" w:ascii="Times New Roman" w:hAnsi="Times New Roman" w:eastAsia="仿宋" w:cs="Times New Roman"/>
          <w:b w:val="0"/>
          <w:bCs/>
          <w:color w:val="000000"/>
          <w:sz w:val="32"/>
          <w:szCs w:val="32"/>
        </w:rPr>
        <w:t>完成预算</w:t>
      </w:r>
      <w:r>
        <w:rPr>
          <w:rFonts w:hint="default" w:ascii="Times New Roman" w:hAnsi="Times New Roman" w:eastAsia="仿宋_GB2312" w:cs="Times New Roman"/>
          <w:sz w:val="32"/>
          <w:szCs w:val="32"/>
        </w:rPr>
        <w:t>11.</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w:t>
      </w:r>
      <w:r>
        <w:rPr>
          <w:rStyle w:val="16"/>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公务接待费支出决算比20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年减少0.</w:t>
      </w:r>
      <w:r>
        <w:rPr>
          <w:rFonts w:hint="default" w:ascii="Times New Roman" w:hAnsi="Times New Roman" w:eastAsia="仿宋_GB2312" w:cs="Times New Roman"/>
          <w:color w:val="000000"/>
          <w:sz w:val="32"/>
          <w:szCs w:val="32"/>
          <w:lang w:val="en-US" w:eastAsia="zh-CN"/>
        </w:rPr>
        <w:t>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万元，减少</w:t>
      </w:r>
      <w:r>
        <w:rPr>
          <w:rFonts w:hint="eastAsia" w:eastAsia="仿宋_GB2312" w:cs="Times New Roman"/>
          <w:color w:val="000000"/>
          <w:sz w:val="32"/>
          <w:szCs w:val="32"/>
          <w:lang w:val="en-US" w:eastAsia="zh-CN"/>
        </w:rPr>
        <w:t>30.5</w:t>
      </w:r>
      <w:r>
        <w:rPr>
          <w:rFonts w:hint="default" w:ascii="Times New Roman" w:hAnsi="Times New Roman" w:eastAsia="仿宋_GB2312" w:cs="Times New Roman"/>
          <w:color w:val="000000"/>
          <w:sz w:val="32"/>
          <w:szCs w:val="32"/>
        </w:rPr>
        <w:t>%，变动主要原因</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rPr>
        <w:t>因202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年疫情特殊情况</w:t>
      </w:r>
      <w:r>
        <w:rPr>
          <w:rFonts w:hint="default" w:ascii="Times New Roman" w:hAnsi="Times New Roman" w:eastAsia="仿宋_GB2312" w:cs="Times New Roman"/>
          <w:sz w:val="32"/>
          <w:szCs w:val="32"/>
          <w:lang w:val="en-US" w:eastAsia="zh-CN"/>
        </w:rPr>
        <w:t>,外省市到访</w:t>
      </w:r>
      <w:r>
        <w:rPr>
          <w:rFonts w:hint="default" w:ascii="Times New Roman" w:hAnsi="Times New Roman" w:eastAsia="仿宋_GB2312" w:cs="Times New Roman"/>
          <w:color w:val="000000"/>
          <w:sz w:val="32"/>
          <w:szCs w:val="32"/>
          <w:lang w:val="en-US" w:eastAsia="zh-CN"/>
        </w:rPr>
        <w:t>考察调研的</w:t>
      </w:r>
      <w:r>
        <w:rPr>
          <w:rFonts w:hint="default" w:ascii="Times New Roman" w:hAnsi="Times New Roman" w:eastAsia="仿宋_GB2312" w:cs="Times New Roman"/>
          <w:color w:val="000000"/>
          <w:sz w:val="32"/>
          <w:szCs w:val="32"/>
        </w:rPr>
        <w:t>单位减少。</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主要用于执行公务、开展业务活动开支的交通费、住宿费、用餐费等。国内公务接待</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批次，</w:t>
      </w:r>
      <w:r>
        <w:rPr>
          <w:rFonts w:hint="default" w:ascii="Times New Roman" w:hAnsi="Times New Roman" w:eastAsia="仿宋_GB2312" w:cs="Times New Roman"/>
          <w:color w:val="000000"/>
          <w:sz w:val="32"/>
          <w:szCs w:val="32"/>
          <w:lang w:val="en-US" w:eastAsia="zh-CN"/>
        </w:rPr>
        <w:t>45</w:t>
      </w:r>
      <w:r>
        <w:rPr>
          <w:rFonts w:hint="default" w:ascii="Times New Roman" w:hAnsi="Times New Roman" w:eastAsia="仿宋_GB2312" w:cs="Times New Roman"/>
          <w:color w:val="000000"/>
          <w:sz w:val="32"/>
          <w:szCs w:val="32"/>
        </w:rPr>
        <w:t>人次（不包括陪同人员），共计支出</w:t>
      </w:r>
      <w:r>
        <w:rPr>
          <w:rFonts w:hint="default" w:ascii="Times New Roman" w:hAnsi="Times New Roman" w:eastAsia="仿宋" w:cs="Times New Roman"/>
          <w:color w:val="000000"/>
          <w:sz w:val="32"/>
          <w:szCs w:val="32"/>
        </w:rPr>
        <w:t>0.</w:t>
      </w:r>
      <w:r>
        <w:rPr>
          <w:rFonts w:hint="default" w:ascii="Times New Roman" w:hAnsi="Times New Roman" w:eastAsia="仿宋" w:cs="Times New Roman"/>
          <w:color w:val="000000"/>
          <w:sz w:val="32"/>
          <w:szCs w:val="32"/>
          <w:lang w:val="en-US" w:eastAsia="zh-CN"/>
        </w:rPr>
        <w:t>57</w:t>
      </w:r>
      <w:r>
        <w:rPr>
          <w:rFonts w:hint="default" w:ascii="Times New Roman" w:hAnsi="Times New Roman" w:eastAsia="仿宋_GB2312" w:cs="Times New Roman"/>
          <w:color w:val="000000"/>
          <w:sz w:val="32"/>
          <w:szCs w:val="32"/>
        </w:rPr>
        <w:t>万元，具体内容包括：</w:t>
      </w:r>
      <w:r>
        <w:rPr>
          <w:rFonts w:hint="default" w:ascii="Times New Roman" w:hAnsi="Times New Roman" w:eastAsia="仿宋_GB2312" w:cs="Times New Roman"/>
          <w:sz w:val="32"/>
          <w:szCs w:val="32"/>
        </w:rPr>
        <w:t>开展团体会员业务活动交流、市县社科联及团体会员到社科联对接联系工作，各省社科联到四川考察</w:t>
      </w:r>
      <w:r>
        <w:rPr>
          <w:rFonts w:hint="default" w:ascii="Times New Roman" w:hAnsi="Times New Roman" w:eastAsia="仿宋_GB2312" w:cs="Times New Roman"/>
          <w:color w:val="000000"/>
          <w:sz w:val="32"/>
          <w:szCs w:val="32"/>
        </w:rPr>
        <w:t>。其中：</w:t>
      </w:r>
    </w:p>
    <w:p>
      <w:pPr>
        <w:spacing w:line="600" w:lineRule="exact"/>
        <w:ind w:firstLine="642" w:firstLineChars="200"/>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外事接待支出</w:t>
      </w:r>
      <w:r>
        <w:rPr>
          <w:rFonts w:hint="default" w:ascii="Times New Roman" w:hAnsi="Times New Roman" w:eastAsia="仿宋" w:cs="Times New Roman"/>
          <w:color w:val="000000"/>
          <w:sz w:val="32"/>
          <w:szCs w:val="32"/>
        </w:rPr>
        <w:t>0</w:t>
      </w:r>
      <w:r>
        <w:rPr>
          <w:rFonts w:hint="default" w:ascii="Times New Roman" w:hAnsi="Times New Roman" w:eastAsia="仿宋_GB2312" w:cs="Times New Roman"/>
          <w:color w:val="000000"/>
          <w:sz w:val="32"/>
          <w:szCs w:val="32"/>
        </w:rPr>
        <w:t>万元。</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 w:cs="Times New Roman"/>
          <w:b/>
          <w:color w:val="000000"/>
          <w:sz w:val="32"/>
          <w:szCs w:val="32"/>
        </w:rPr>
        <w:t>其他国内公务接待支出</w:t>
      </w:r>
      <w:r>
        <w:rPr>
          <w:rFonts w:hint="default" w:ascii="Times New Roman" w:hAnsi="Times New Roman" w:eastAsia="仿宋" w:cs="Times New Roman"/>
          <w:color w:val="000000"/>
          <w:sz w:val="32"/>
          <w:szCs w:val="32"/>
        </w:rPr>
        <w:t>0.</w:t>
      </w:r>
      <w:r>
        <w:rPr>
          <w:rFonts w:hint="default" w:ascii="Times New Roman" w:hAnsi="Times New Roman" w:eastAsia="仿宋" w:cs="Times New Roman"/>
          <w:color w:val="000000"/>
          <w:sz w:val="32"/>
          <w:szCs w:val="32"/>
          <w:lang w:val="en-US" w:eastAsia="zh-CN"/>
        </w:rPr>
        <w:t>57</w:t>
      </w:r>
      <w:r>
        <w:rPr>
          <w:rFonts w:hint="default" w:ascii="Times New Roman" w:hAnsi="Times New Roman" w:eastAsia="仿宋_GB2312" w:cs="Times New Roman"/>
          <w:color w:val="000000"/>
          <w:sz w:val="32"/>
          <w:szCs w:val="32"/>
        </w:rPr>
        <w:t>元，主要用于</w:t>
      </w:r>
      <w:r>
        <w:rPr>
          <w:rFonts w:hint="default" w:ascii="Times New Roman" w:hAnsi="Times New Roman" w:eastAsia="仿宋_GB2312" w:cs="Times New Roman"/>
          <w:sz w:val="32"/>
          <w:szCs w:val="32"/>
        </w:rPr>
        <w:t>开展业务活动交流、各省社科联到四川调研。</w:t>
      </w:r>
    </w:p>
    <w:p>
      <w:pPr>
        <w:spacing w:line="600" w:lineRule="exact"/>
        <w:ind w:firstLine="640"/>
        <w:outlineLvl w:val="1"/>
        <w:rPr>
          <w:rFonts w:hint="default" w:ascii="Times New Roman" w:hAnsi="Times New Roman" w:eastAsia="黑体" w:cs="Times New Roman"/>
          <w:sz w:val="32"/>
          <w:szCs w:val="32"/>
        </w:rPr>
      </w:pPr>
    </w:p>
    <w:p>
      <w:pPr>
        <w:spacing w:line="600" w:lineRule="exact"/>
        <w:ind w:firstLine="640"/>
        <w:outlineLvl w:val="1"/>
        <w:rPr>
          <w:rStyle w:val="27"/>
          <w:rFonts w:hint="default" w:ascii="Times New Roman" w:hAnsi="Times New Roman" w:eastAsia="黑体" w:cs="Times New Roman"/>
        </w:rPr>
      </w:pPr>
      <w:r>
        <w:rPr>
          <w:rFonts w:hint="default" w:ascii="Times New Roman" w:hAnsi="Times New Roman" w:eastAsia="黑体" w:cs="Times New Roman"/>
          <w:sz w:val="32"/>
          <w:szCs w:val="32"/>
        </w:rPr>
        <w:t>八、</w:t>
      </w:r>
      <w:r>
        <w:rPr>
          <w:rStyle w:val="27"/>
          <w:rFonts w:hint="default" w:ascii="Times New Roman" w:hAnsi="Times New Roman" w:eastAsia="黑体" w:cs="Times New Roman"/>
          <w:b w:val="0"/>
        </w:rPr>
        <w:t>政府性基金预算支出决算情况说明</w:t>
      </w:r>
      <w:bookmarkEnd w:id="38"/>
      <w:bookmarkEnd w:id="39"/>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年政府性基金预算财政拨款支出0万元。</w:t>
      </w:r>
    </w:p>
    <w:p>
      <w:pPr>
        <w:spacing w:line="600" w:lineRule="exact"/>
        <w:ind w:firstLine="640"/>
        <w:rPr>
          <w:rFonts w:hint="default" w:ascii="Times New Roman" w:hAnsi="Times New Roman" w:eastAsia="仿宋_GB2312" w:cs="Times New Roman"/>
          <w:sz w:val="32"/>
          <w:szCs w:val="32"/>
        </w:rPr>
      </w:pPr>
    </w:p>
    <w:p>
      <w:pPr>
        <w:numPr>
          <w:ilvl w:val="0"/>
          <w:numId w:val="2"/>
        </w:numPr>
        <w:spacing w:line="600" w:lineRule="exact"/>
        <w:ind w:firstLine="640"/>
        <w:outlineLvl w:val="1"/>
        <w:rPr>
          <w:rStyle w:val="27"/>
          <w:rFonts w:hint="default" w:ascii="Times New Roman" w:hAnsi="Times New Roman" w:eastAsia="黑体" w:cs="Times New Roman"/>
          <w:b w:val="0"/>
        </w:rPr>
      </w:pPr>
      <w:bookmarkStart w:id="40" w:name="_Toc15377219"/>
      <w:bookmarkStart w:id="41" w:name="_Toc15396611"/>
      <w:r>
        <w:rPr>
          <w:rStyle w:val="27"/>
          <w:rFonts w:hint="default" w:ascii="Times New Roman" w:hAnsi="Times New Roman" w:eastAsia="黑体" w:cs="Times New Roman"/>
          <w:b w:val="0"/>
        </w:rPr>
        <w:t>国有资本经营预算支出决算情况说明</w:t>
      </w:r>
      <w:bookmarkEnd w:id="40"/>
      <w:bookmarkEnd w:id="41"/>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年国有资本经营预算财政拨款支出0万元。</w:t>
      </w:r>
    </w:p>
    <w:p>
      <w:pPr>
        <w:spacing w:line="580" w:lineRule="exact"/>
        <w:jc w:val="center"/>
        <w:rPr>
          <w:rFonts w:hint="default" w:ascii="Times New Roman" w:hAnsi="Times New Roman" w:eastAsia="方正小标宋简体" w:cs="Times New Roman"/>
          <w:sz w:val="44"/>
          <w:szCs w:val="44"/>
        </w:rPr>
      </w:pPr>
    </w:p>
    <w:p>
      <w:pPr>
        <w:numPr>
          <w:ilvl w:val="0"/>
          <w:numId w:val="2"/>
        </w:numPr>
        <w:spacing w:line="600" w:lineRule="exact"/>
        <w:ind w:firstLine="640"/>
        <w:outlineLvl w:val="1"/>
        <w:rPr>
          <w:rStyle w:val="27"/>
          <w:rFonts w:hint="default" w:ascii="Times New Roman" w:hAnsi="Times New Roman" w:eastAsia="黑体" w:cs="Times New Roman"/>
          <w:b w:val="0"/>
        </w:rPr>
      </w:pPr>
      <w:bookmarkStart w:id="42" w:name="_Toc15377221"/>
      <w:bookmarkStart w:id="43" w:name="_Toc15396612"/>
      <w:r>
        <w:rPr>
          <w:rStyle w:val="27"/>
          <w:rFonts w:hint="default" w:ascii="Times New Roman" w:hAnsi="Times New Roman" w:eastAsia="黑体" w:cs="Times New Roman"/>
          <w:b w:val="0"/>
        </w:rPr>
        <w:t>其他重要事项的情况说明</w:t>
      </w:r>
      <w:bookmarkEnd w:id="42"/>
      <w:bookmarkEnd w:id="43"/>
    </w:p>
    <w:p>
      <w:pPr>
        <w:spacing w:line="600" w:lineRule="exact"/>
        <w:ind w:firstLine="642" w:firstLineChars="200"/>
        <w:outlineLvl w:val="2"/>
        <w:rPr>
          <w:rFonts w:hint="default" w:ascii="Times New Roman" w:hAnsi="Times New Roman" w:eastAsia="仿宋" w:cs="Times New Roman"/>
          <w:sz w:val="32"/>
          <w:szCs w:val="32"/>
        </w:rPr>
      </w:pPr>
      <w:bookmarkStart w:id="44" w:name="_Toc15377222"/>
      <w:r>
        <w:rPr>
          <w:rFonts w:hint="default" w:ascii="Times New Roman" w:hAnsi="Times New Roman" w:eastAsia="仿宋" w:cs="Times New Roman"/>
          <w:b/>
          <w:sz w:val="32"/>
          <w:szCs w:val="32"/>
        </w:rPr>
        <w:t>（一）机关运行经费支出情况</w:t>
      </w:r>
      <w:bookmarkEnd w:id="44"/>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年，省社科联机关运行经费支出340.6</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增加</w:t>
      </w:r>
      <w:r>
        <w:rPr>
          <w:rFonts w:hint="eastAsia" w:eastAsia="仿宋_GB2312" w:cs="Times New Roman"/>
          <w:sz w:val="32"/>
          <w:szCs w:val="32"/>
          <w:lang w:val="en-US" w:eastAsia="zh-CN"/>
        </w:rPr>
        <w:t>90.18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36</w:t>
      </w:r>
      <w:r>
        <w:rPr>
          <w:rFonts w:hint="eastAsia" w:eastAsia="仿宋_GB2312" w:cs="Times New Roman"/>
          <w:sz w:val="32"/>
          <w:szCs w:val="32"/>
          <w:lang w:val="en-US" w:eastAsia="zh-CN"/>
        </w:rPr>
        <w:t>.01</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因202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为社科评奖年</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会议费及差旅费</w:t>
      </w:r>
      <w:r>
        <w:rPr>
          <w:rFonts w:hint="eastAsia" w:eastAsia="仿宋_GB2312" w:cs="Times New Roman"/>
          <w:sz w:val="32"/>
          <w:szCs w:val="32"/>
          <w:lang w:val="en-US" w:eastAsia="zh-CN"/>
        </w:rPr>
        <w:t>等费用</w:t>
      </w:r>
      <w:r>
        <w:rPr>
          <w:rFonts w:hint="default" w:ascii="Times New Roman" w:hAnsi="Times New Roman" w:eastAsia="仿宋_GB2312" w:cs="Times New Roman"/>
          <w:sz w:val="32"/>
          <w:szCs w:val="32"/>
        </w:rPr>
        <w:t>相应</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rPr>
        <w:t>。</w:t>
      </w:r>
    </w:p>
    <w:p>
      <w:pPr>
        <w:autoSpaceDE w:val="0"/>
        <w:autoSpaceDN w:val="0"/>
        <w:adjustRightInd w:val="0"/>
        <w:spacing w:line="600" w:lineRule="exact"/>
        <w:ind w:firstLine="642" w:firstLineChars="200"/>
        <w:jc w:val="left"/>
        <w:outlineLvl w:val="2"/>
        <w:rPr>
          <w:rFonts w:hint="default" w:ascii="Times New Roman" w:hAnsi="Times New Roman" w:eastAsia="仿宋" w:cs="Times New Roman"/>
          <w:b/>
          <w:sz w:val="32"/>
          <w:szCs w:val="32"/>
        </w:rPr>
      </w:pPr>
      <w:bookmarkStart w:id="45" w:name="_Toc15377223"/>
      <w:r>
        <w:rPr>
          <w:rFonts w:hint="default" w:ascii="Times New Roman" w:hAnsi="Times New Roman" w:eastAsia="仿宋" w:cs="Times New Roman"/>
          <w:b/>
          <w:sz w:val="32"/>
          <w:szCs w:val="32"/>
        </w:rPr>
        <w:t>（二）政府采购支出情况</w:t>
      </w:r>
      <w:bookmarkEnd w:id="45"/>
    </w:p>
    <w:p>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年，省社科联政府采购支出总额</w:t>
      </w:r>
      <w:r>
        <w:rPr>
          <w:rFonts w:hint="default" w:ascii="Times New Roman" w:hAnsi="Times New Roman" w:eastAsia="仿宋_GB2312" w:cs="Times New Roman"/>
          <w:bCs/>
          <w:sz w:val="32"/>
          <w:szCs w:val="32"/>
        </w:rPr>
        <w:t>621.47</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bCs/>
          <w:sz w:val="32"/>
          <w:szCs w:val="32"/>
        </w:rPr>
        <w:t>369.</w:t>
      </w:r>
      <w:r>
        <w:rPr>
          <w:rFonts w:hint="eastAsia" w:eastAsia="仿宋_GB2312" w:cs="Times New Roman"/>
          <w:bCs/>
          <w:sz w:val="32"/>
          <w:szCs w:val="32"/>
          <w:lang w:val="en-US" w:eastAsia="zh-CN"/>
        </w:rPr>
        <w:t>51</w:t>
      </w:r>
      <w:r>
        <w:rPr>
          <w:rFonts w:hint="default" w:ascii="Times New Roman" w:hAnsi="Times New Roman" w:eastAsia="仿宋_GB2312" w:cs="Times New Roman"/>
          <w:sz w:val="32"/>
          <w:szCs w:val="32"/>
        </w:rPr>
        <w:t>万元、政府采购工程支出0万元、政府采购服务支出</w:t>
      </w:r>
      <w:r>
        <w:rPr>
          <w:rFonts w:hint="default" w:ascii="Times New Roman" w:hAnsi="Times New Roman" w:eastAsia="仿宋_GB2312" w:cs="Times New Roman"/>
          <w:bCs/>
          <w:sz w:val="32"/>
          <w:szCs w:val="32"/>
        </w:rPr>
        <w:t>251.96</w:t>
      </w:r>
      <w:r>
        <w:rPr>
          <w:rFonts w:hint="default" w:ascii="Times New Roman" w:hAnsi="Times New Roman" w:eastAsia="仿宋_GB2312" w:cs="Times New Roman"/>
          <w:sz w:val="32"/>
          <w:szCs w:val="32"/>
        </w:rPr>
        <w:t>万元。主要用于采购四川社科馆家具、窗帘和物业服务租赁服务以及车辆加油、保险等。</w:t>
      </w:r>
      <w:r>
        <w:rPr>
          <w:rFonts w:hint="default" w:ascii="Times New Roman" w:hAnsi="Times New Roman" w:eastAsia="仿宋_GB2312" w:cs="Times New Roman"/>
          <w:color w:val="auto"/>
          <w:sz w:val="32"/>
          <w:szCs w:val="32"/>
        </w:rPr>
        <w:t>授予中小企业合同金额</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万元，占政府采购支出总额的</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%，其中：授予小微企业合同金额</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万元，占政府采购支出总额的</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w:t>
      </w:r>
    </w:p>
    <w:p>
      <w:pPr>
        <w:autoSpaceDE w:val="0"/>
        <w:autoSpaceDN w:val="0"/>
        <w:adjustRightInd w:val="0"/>
        <w:spacing w:line="600" w:lineRule="exact"/>
        <w:ind w:firstLine="642" w:firstLineChars="200"/>
        <w:jc w:val="left"/>
        <w:outlineLvl w:val="2"/>
        <w:rPr>
          <w:rFonts w:hint="default" w:ascii="Times New Roman" w:hAnsi="Times New Roman" w:eastAsia="仿宋" w:cs="Times New Roman"/>
          <w:b/>
          <w:sz w:val="32"/>
          <w:szCs w:val="32"/>
        </w:rPr>
      </w:pPr>
      <w:bookmarkStart w:id="46" w:name="_Toc15377224"/>
      <w:r>
        <w:rPr>
          <w:rFonts w:hint="default" w:ascii="Times New Roman" w:hAnsi="Times New Roman" w:eastAsia="仿宋" w:cs="Times New Roman"/>
          <w:b/>
          <w:sz w:val="32"/>
          <w:szCs w:val="32"/>
        </w:rPr>
        <w:t>（三）国有资产占有使用情况</w:t>
      </w:r>
      <w:bookmarkEnd w:id="46"/>
    </w:p>
    <w:p>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年12月31日，省社科联共有车辆4辆，其中：主要领导干部用车</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辆、机要通信用车1辆、应急保障用车1辆、其他用车</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w:t>
      </w:r>
      <w:r>
        <w:rPr>
          <w:rFonts w:hint="eastAsia" w:eastAsia="仿宋_GB2312" w:cs="Times New Roman"/>
          <w:sz w:val="32"/>
          <w:szCs w:val="32"/>
          <w:lang w:eastAsia="zh-CN"/>
        </w:rPr>
        <w:t>，</w:t>
      </w:r>
      <w:r>
        <w:rPr>
          <w:rFonts w:hint="eastAsia" w:eastAsia="仿宋_GB2312" w:cs="Times New Roman"/>
          <w:sz w:val="32"/>
          <w:szCs w:val="32"/>
          <w:lang w:val="en-US" w:eastAsia="zh-CN"/>
        </w:rPr>
        <w:t>其他用车主要是用于一般公务出差。</w:t>
      </w:r>
      <w:r>
        <w:rPr>
          <w:rFonts w:hint="default" w:ascii="Times New Roman" w:hAnsi="Times New Roman" w:eastAsia="仿宋_GB2312" w:cs="Times New Roman"/>
          <w:sz w:val="32"/>
          <w:szCs w:val="32"/>
        </w:rPr>
        <w:t>单价50万元以上通用设备0台，单价100万元以上专用设备0台。</w:t>
      </w:r>
    </w:p>
    <w:p>
      <w:pPr>
        <w:autoSpaceDE w:val="0"/>
        <w:autoSpaceDN w:val="0"/>
        <w:adjustRightInd w:val="0"/>
        <w:spacing w:line="600" w:lineRule="exact"/>
        <w:ind w:firstLine="642" w:firstLineChars="200"/>
        <w:jc w:val="left"/>
        <w:outlineLvl w:val="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（四）预算绩效管理情况</w:t>
      </w:r>
    </w:p>
    <w:p>
      <w:pPr>
        <w:numPr>
          <w:ilvl w:val="0"/>
          <w:numId w:val="0"/>
        </w:numPr>
        <w:spacing w:line="600" w:lineRule="exact"/>
        <w:ind w:firstLine="640" w:firstLineChars="200"/>
        <w:jc w:val="both"/>
        <w:outlineLvl w:val="0"/>
        <w:rPr>
          <w:rFonts w:hint="default" w:ascii="Times New Roman" w:hAnsi="Times New Roman" w:eastAsia="仿宋_GB2312" w:cs="Times New Roman"/>
          <w:color w:val="auto"/>
          <w:sz w:val="32"/>
          <w:szCs w:val="32"/>
          <w:highlight w:val="none"/>
        </w:rPr>
      </w:pPr>
      <w:bookmarkStart w:id="47" w:name="_Toc15396613"/>
      <w:bookmarkStart w:id="48" w:name="_Toc15377225"/>
      <w:r>
        <w:rPr>
          <w:rFonts w:hint="default" w:ascii="Times New Roman" w:hAnsi="Times New Roman" w:eastAsia="仿宋_GB2312" w:cs="Times New Roman"/>
          <w:color w:val="auto"/>
          <w:sz w:val="32"/>
          <w:szCs w:val="32"/>
          <w:highlight w:val="none"/>
        </w:rPr>
        <w:t>根据预算绩效管理要求，</w:t>
      </w:r>
      <w:r>
        <w:rPr>
          <w:rFonts w:hint="default" w:ascii="Times New Roman" w:hAnsi="Times New Roman" w:eastAsia="仿宋_GB2312" w:cs="Times New Roman"/>
          <w:sz w:val="32"/>
          <w:szCs w:val="32"/>
        </w:rPr>
        <w:t>省社科联</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2021年度</w:t>
      </w:r>
      <w:r>
        <w:rPr>
          <w:rFonts w:hint="default" w:ascii="Times New Roman" w:hAnsi="Times New Roman" w:eastAsia="仿宋_GB2312" w:cs="Times New Roman"/>
          <w:color w:val="auto"/>
          <w:sz w:val="32"/>
          <w:szCs w:val="32"/>
          <w:highlight w:val="none"/>
        </w:rPr>
        <w:t>预算编制阶段，对</w:t>
      </w:r>
      <w:r>
        <w:rPr>
          <w:rFonts w:hint="default" w:ascii="Times New Roman" w:hAnsi="Times New Roman" w:eastAsia="仿宋_GB2312" w:cs="Times New Roman"/>
          <w:sz w:val="32"/>
          <w:szCs w:val="32"/>
        </w:rPr>
        <w:t>“科学术活动及课题研究管理经费”</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val="en-US" w:eastAsia="zh-CN"/>
        </w:rPr>
        <w:t>5个项目</w:t>
      </w:r>
      <w:r>
        <w:rPr>
          <w:rFonts w:hint="default" w:ascii="Times New Roman" w:hAnsi="Times New Roman" w:eastAsia="仿宋_GB2312" w:cs="Times New Roman"/>
          <w:color w:val="auto"/>
          <w:sz w:val="32"/>
          <w:szCs w:val="32"/>
          <w:highlight w:val="none"/>
        </w:rPr>
        <w:t>编制了绩效目标，预算执行过程中，选取</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个项目开展绩效监控，年终执行完毕后，对</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个项目开展了绩效自评</w:t>
      </w:r>
      <w:r>
        <w:rPr>
          <w:rFonts w:hint="default" w:ascii="Times New Roman" w:hAnsi="Times New Roman" w:eastAsia="仿宋_GB2312" w:cs="Times New Roman"/>
          <w:color w:val="auto"/>
          <w:sz w:val="32"/>
          <w:szCs w:val="32"/>
          <w:highlight w:val="none"/>
          <w:lang w:eastAsia="zh-CN"/>
        </w:rPr>
        <w:t>。同时，</w:t>
      </w:r>
      <w:r>
        <w:rPr>
          <w:rFonts w:hint="default" w:ascii="Times New Roman" w:hAnsi="Times New Roman" w:eastAsia="仿宋_GB2312" w:cs="Times New Roman"/>
          <w:color w:val="auto"/>
          <w:sz w:val="32"/>
          <w:szCs w:val="32"/>
          <w:highlight w:val="none"/>
        </w:rPr>
        <w:t>本部门对20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年部门整体开展绩效自评，《202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四川省社科联</w:t>
      </w:r>
      <w:r>
        <w:rPr>
          <w:rFonts w:hint="default" w:ascii="Times New Roman" w:hAnsi="Times New Roman" w:eastAsia="仿宋_GB2312" w:cs="Times New Roman"/>
          <w:color w:val="auto"/>
          <w:sz w:val="32"/>
          <w:szCs w:val="32"/>
          <w:highlight w:val="none"/>
        </w:rPr>
        <w:t>部门整体绩效评价</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告》见附件（</w:t>
      </w:r>
      <w:r>
        <w:rPr>
          <w:rFonts w:hint="default" w:ascii="Times New Roman" w:hAnsi="Times New Roman" w:eastAsia="仿宋_GB2312" w:cs="Times New Roman"/>
          <w:color w:val="auto"/>
          <w:sz w:val="32"/>
          <w:szCs w:val="32"/>
          <w:highlight w:val="none"/>
          <w:lang w:eastAsia="zh-CN"/>
        </w:rPr>
        <w:t>第四部分</w:t>
      </w:r>
      <w:r>
        <w:rPr>
          <w:rFonts w:hint="default" w:ascii="Times New Roman" w:hAnsi="Times New Roman" w:eastAsia="仿宋_GB2312" w:cs="Times New Roman"/>
          <w:color w:val="auto"/>
          <w:sz w:val="32"/>
          <w:szCs w:val="32"/>
          <w:highlight w:val="none"/>
        </w:rPr>
        <w:t>）。</w:t>
      </w: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numPr>
          <w:ilvl w:val="0"/>
          <w:numId w:val="3"/>
        </w:numPr>
        <w:spacing w:line="600" w:lineRule="exact"/>
        <w:ind w:firstLine="660" w:firstLineChars="150"/>
        <w:jc w:val="center"/>
        <w:outlineLvl w:val="0"/>
        <w:rPr>
          <w:rStyle w:val="26"/>
          <w:rFonts w:hint="default" w:ascii="Times New Roman" w:hAnsi="Times New Roman" w:eastAsia="黑体" w:cs="Times New Roman"/>
          <w:b w:val="0"/>
        </w:rPr>
      </w:pPr>
      <w:r>
        <w:rPr>
          <w:rFonts w:hint="default" w:ascii="Times New Roman" w:hAnsi="Times New Roman" w:eastAsia="黑体" w:cs="Times New Roman"/>
          <w:sz w:val="44"/>
          <w:szCs w:val="44"/>
        </w:rPr>
        <w:t>名</w:t>
      </w:r>
      <w:r>
        <w:rPr>
          <w:rStyle w:val="26"/>
          <w:rFonts w:hint="default" w:ascii="Times New Roman" w:hAnsi="Times New Roman" w:eastAsia="黑体" w:cs="Times New Roman"/>
          <w:b w:val="0"/>
        </w:rPr>
        <w:t>词解释</w:t>
      </w:r>
      <w:bookmarkEnd w:id="47"/>
      <w:bookmarkEnd w:id="48"/>
    </w:p>
    <w:p>
      <w:pPr>
        <w:spacing w:line="600" w:lineRule="exact"/>
        <w:jc w:val="left"/>
        <w:rPr>
          <w:rFonts w:hint="default" w:ascii="Times New Roman" w:hAnsi="Times New Roman" w:cs="Times New Roman"/>
          <w:b/>
          <w:sz w:val="44"/>
          <w:szCs w:val="44"/>
        </w:rPr>
      </w:pP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1.财政拨款收入：指省级财政当年拨付的资金。 </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2.年初结转和结余：指以前年度尚未完成、结转到本年按有关规定继续使用的资金。 </w:t>
      </w:r>
    </w:p>
    <w:p>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3. </w:t>
      </w:r>
      <w:r>
        <w:rPr>
          <w:rFonts w:hint="default" w:ascii="Times New Roman" w:hAnsi="Times New Roman" w:eastAsia="仿宋" w:cs="Times New Roman"/>
          <w:sz w:val="32"/>
          <w:szCs w:val="32"/>
        </w:rPr>
        <w:t>一般公共服务支出</w:t>
      </w:r>
      <w:r>
        <w:rPr>
          <w:rFonts w:hint="default" w:ascii="Times New Roman" w:hAnsi="Times New Roman" w:eastAsia="仿宋" w:cs="Times New Roman"/>
          <w:sz w:val="32"/>
          <w:szCs w:val="32"/>
          <w:lang w:eastAsia="zh-CN"/>
        </w:rPr>
        <w:t>（类）</w:t>
      </w:r>
      <w:r>
        <w:rPr>
          <w:rFonts w:hint="default" w:ascii="Times New Roman" w:hAnsi="Times New Roman" w:eastAsia="仿宋_GB2312" w:cs="Times New Roman"/>
          <w:sz w:val="32"/>
          <w:szCs w:val="32"/>
        </w:rPr>
        <w:t>其他共产党事务支出（款）其他共产党事务支出（项）</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Cs/>
          <w:sz w:val="32"/>
          <w:szCs w:val="32"/>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eastAsia="zh-CN"/>
        </w:rPr>
        <w:t>上述款项以外其他用于中国共产党事务的支出。</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教育支出（类）进修及培训（款）培训支出（项）：指反映各部门安排的用于培训的支出。</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.科学技术支出（类）科学技术管理事务（款）行政运行（项）</w:t>
      </w:r>
      <w:r>
        <w:rPr>
          <w:rFonts w:hint="default" w:ascii="Times New Roman" w:hAnsi="Times New Roman" w:eastAsia="仿宋_GB2312" w:cs="Times New Roman"/>
          <w:bCs/>
          <w:sz w:val="32"/>
          <w:szCs w:val="32"/>
        </w:rPr>
        <w:t>:指</w:t>
      </w:r>
      <w:r>
        <w:rPr>
          <w:rFonts w:hint="default" w:ascii="Times New Roman" w:hAnsi="Times New Roman" w:eastAsia="仿宋_GB2312" w:cs="Times New Roman"/>
          <w:sz w:val="32"/>
          <w:szCs w:val="32"/>
        </w:rPr>
        <w:t>反映行政单位（包括实行公务员管理的事业单位）的基本支出。</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6.科学技术支出（类）社会科学（款）社会科学研究（项）：指反映除社科基金支出外的社会科学研究支出。</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7.科学技术支出（类）社会科学（款）其他社会科学支出（项）：指反映其他用于社会科学研究方面的支出。  </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.社会保障和就业支出（类）行政事业单位离退休（款）行政单位离退休（项）: 指反映行政单位开支的离退休经费。</w:t>
      </w:r>
    </w:p>
    <w:p>
      <w:pPr>
        <w:snapToGrid w:val="0"/>
        <w:spacing w:line="52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.社会保障和就业支出（类）行政事业单位养老支出（款）机关事业单位基本养老保险缴费支出（项）:</w:t>
      </w:r>
      <w:r>
        <w:rPr>
          <w:rFonts w:hint="default" w:ascii="Times New Roman" w:hAnsi="Times New Roman" w:eastAsia="仿宋_GB2312" w:cs="Times New Roman"/>
          <w:sz w:val="32"/>
          <w:szCs w:val="32"/>
          <w:lang w:eastAsia="zh-CN"/>
        </w:rPr>
        <w:t>反映机关事业单位实施</w:t>
      </w:r>
      <w:r>
        <w:rPr>
          <w:rFonts w:hint="default" w:ascii="Times New Roman" w:hAnsi="Times New Roman" w:eastAsia="仿宋_GB2312" w:cs="Times New Roman"/>
          <w:sz w:val="32"/>
          <w:szCs w:val="32"/>
        </w:rPr>
        <w:t>养老保险</w:t>
      </w:r>
      <w:r>
        <w:rPr>
          <w:rFonts w:hint="default" w:ascii="Times New Roman" w:hAnsi="Times New Roman" w:eastAsia="仿宋_GB2312" w:cs="Times New Roman"/>
          <w:sz w:val="32"/>
          <w:szCs w:val="32"/>
          <w:lang w:eastAsia="zh-CN"/>
        </w:rPr>
        <w:t>制度由单位</w:t>
      </w:r>
      <w:r>
        <w:rPr>
          <w:rFonts w:hint="default" w:ascii="Times New Roman" w:hAnsi="Times New Roman" w:eastAsia="仿宋_GB2312" w:cs="Times New Roman"/>
          <w:sz w:val="32"/>
          <w:szCs w:val="32"/>
        </w:rPr>
        <w:t>缴</w:t>
      </w:r>
      <w:r>
        <w:rPr>
          <w:rFonts w:hint="default" w:ascii="Times New Roman" w:hAnsi="Times New Roman" w:eastAsia="仿宋_GB2312" w:cs="Times New Roman"/>
          <w:sz w:val="32"/>
          <w:szCs w:val="32"/>
          <w:lang w:eastAsia="zh-CN"/>
        </w:rPr>
        <w:t>纳的基本</w:t>
      </w:r>
      <w:r>
        <w:rPr>
          <w:rFonts w:hint="default" w:ascii="Times New Roman" w:hAnsi="Times New Roman" w:eastAsia="仿宋_GB2312" w:cs="Times New Roman"/>
          <w:sz w:val="32"/>
          <w:szCs w:val="32"/>
        </w:rPr>
        <w:t>养老保险费支出</w:t>
      </w:r>
      <w:r>
        <w:rPr>
          <w:rFonts w:hint="default" w:ascii="Times New Roman" w:hAnsi="Times New Roman" w:eastAsia="仿宋_GB2312" w:cs="Times New Roman"/>
          <w:sz w:val="32"/>
          <w:szCs w:val="32"/>
          <w:lang w:eastAsia="zh-CN"/>
        </w:rPr>
        <w:t>。</w:t>
      </w:r>
    </w:p>
    <w:p>
      <w:pPr>
        <w:ind w:firstLine="640" w:firstLineChars="200"/>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.社会保障和就业支出（类）行政事业单位养老支出（款） 机关事业单位职业年金缴费支出（项）</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eastAsia="zh-CN"/>
        </w:rPr>
        <w:t>反映机关事业单位实施</w:t>
      </w:r>
      <w:r>
        <w:rPr>
          <w:rFonts w:hint="default" w:ascii="Times New Roman" w:hAnsi="Times New Roman" w:eastAsia="仿宋_GB2312" w:cs="Times New Roman"/>
          <w:sz w:val="32"/>
          <w:szCs w:val="32"/>
        </w:rPr>
        <w:t>养老保险</w:t>
      </w:r>
      <w:r>
        <w:rPr>
          <w:rFonts w:hint="default" w:ascii="Times New Roman" w:hAnsi="Times New Roman" w:eastAsia="仿宋_GB2312" w:cs="Times New Roman"/>
          <w:sz w:val="32"/>
          <w:szCs w:val="32"/>
          <w:lang w:eastAsia="zh-CN"/>
        </w:rPr>
        <w:t>制度由单位实际</w:t>
      </w:r>
      <w:r>
        <w:rPr>
          <w:rFonts w:hint="default" w:ascii="Times New Roman" w:hAnsi="Times New Roman" w:eastAsia="仿宋_GB2312" w:cs="Times New Roman"/>
          <w:sz w:val="32"/>
          <w:szCs w:val="32"/>
        </w:rPr>
        <w:t>缴</w:t>
      </w:r>
      <w:r>
        <w:rPr>
          <w:rFonts w:hint="default" w:ascii="Times New Roman" w:hAnsi="Times New Roman" w:eastAsia="仿宋_GB2312" w:cs="Times New Roman"/>
          <w:sz w:val="32"/>
          <w:szCs w:val="32"/>
          <w:lang w:eastAsia="zh-CN"/>
        </w:rPr>
        <w:t>纳的</w:t>
      </w:r>
      <w:r>
        <w:rPr>
          <w:rFonts w:hint="default" w:ascii="Times New Roman" w:hAnsi="Times New Roman" w:eastAsia="仿宋_GB2312" w:cs="Times New Roman"/>
          <w:sz w:val="32"/>
          <w:szCs w:val="32"/>
        </w:rPr>
        <w:t>职业年金支出</w:t>
      </w:r>
      <w:r>
        <w:rPr>
          <w:rFonts w:hint="default" w:ascii="Times New Roman" w:hAnsi="Times New Roman" w:eastAsia="仿宋_GB2312" w:cs="Times New Roman"/>
          <w:sz w:val="32"/>
          <w:szCs w:val="32"/>
          <w:lang w:eastAsia="zh-CN"/>
        </w:rPr>
        <w:t>。</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.社会保障和就业支出（类）抚恤（款）死亡抚恤（项）: 指反映按规定用于烈士和牺牲、病故人员家属的一次性和定期抚恤金、丧葬补助费以及烈士褒扬金。</w:t>
      </w:r>
      <w:r>
        <w:rPr>
          <w:rFonts w:hint="default" w:ascii="Times New Roman" w:hAnsi="Times New Roman" w:eastAsia="仿宋_GB2312" w:cs="Times New Roman"/>
          <w:sz w:val="32"/>
          <w:szCs w:val="32"/>
        </w:rPr>
        <w:t xml:space="preserve">  </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12</w:t>
      </w:r>
      <w:r>
        <w:rPr>
          <w:rFonts w:hint="default" w:ascii="Times New Roman" w:hAnsi="Times New Roman" w:eastAsia="仿宋_GB2312" w:cs="Times New Roman"/>
          <w:sz w:val="32"/>
          <w:szCs w:val="32"/>
        </w:rPr>
        <w:t>.医疗卫生与计划生育支出（类）医疗保障（款）行政单位医疗（项）</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指反映财政部门集中安排的行政单位基本医疗保险缴费。</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.医疗卫生与计划生育支出（类）医疗保障（款）公务员医疗补助（项）</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 xml:space="preserve"> 指反映财政部门集中安排的公务员医疗补助经费。</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.住房保障支出（类）住房改革支出（款）住房公积金（项）</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指反映行政事业单位按人力资源和社会保障部、财政部规定的基本工资和津补贴以及规定比例为职工缴纳的住房公积金。</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.住房保障支出（类）住房改革支出（款）购房补贴（项）</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 xml:space="preserve">指反映按房改政策规定，行政事业单位向符合条件职工（含离退休人员）发放用于购买住房的补贴。    </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.年末结转和结余：指本年度或以前年度预算安排、因客观条件发生变化无法按原计划实施，需延迟到以后年度按有关规定继续使用的资金。</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.基本支出：指为保障机构正常运转、完成日常工作任务而发生的人员支出和公用支出。</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三公”经费：指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default" w:ascii="Times New Roman" w:hAnsi="Times New Roman" w:cs="Times New Roman"/>
          <w:b/>
          <w:sz w:val="44"/>
          <w:szCs w:val="44"/>
        </w:rPr>
      </w:pPr>
      <w:bookmarkStart w:id="49" w:name="_Toc15377226"/>
      <w:r>
        <w:rPr>
          <w:rFonts w:hint="default" w:ascii="Times New Roman" w:hAnsi="Times New Roman" w:cs="Times New Roman"/>
          <w:b/>
          <w:sz w:val="44"/>
          <w:szCs w:val="44"/>
        </w:rPr>
        <w:br w:type="page"/>
      </w:r>
      <w:bookmarkStart w:id="50" w:name="_Toc15396614"/>
    </w:p>
    <w:p>
      <w:pPr>
        <w:spacing w:line="600" w:lineRule="exact"/>
        <w:jc w:val="center"/>
        <w:outlineLvl w:val="0"/>
        <w:rPr>
          <w:rFonts w:hint="default" w:ascii="Times New Roman" w:hAnsi="Times New Roman" w:cs="Times New Roman"/>
          <w:b/>
          <w:sz w:val="44"/>
          <w:szCs w:val="44"/>
        </w:rPr>
      </w:pPr>
    </w:p>
    <w:p>
      <w:pPr>
        <w:spacing w:line="600" w:lineRule="exact"/>
        <w:jc w:val="center"/>
        <w:outlineLvl w:val="0"/>
        <w:rPr>
          <w:rStyle w:val="26"/>
          <w:rFonts w:hint="default" w:ascii="Times New Roman" w:hAnsi="Times New Roman" w:eastAsia="黑体" w:cs="Times New Roman"/>
          <w:b w:val="0"/>
          <w:color w:val="auto"/>
        </w:rPr>
      </w:pPr>
      <w:r>
        <w:rPr>
          <w:rFonts w:hint="default" w:ascii="Times New Roman" w:hAnsi="Times New Roman" w:eastAsia="黑体" w:cs="Times New Roman"/>
          <w:color w:val="auto"/>
          <w:sz w:val="44"/>
          <w:szCs w:val="44"/>
        </w:rPr>
        <w:t>第</w:t>
      </w:r>
      <w:r>
        <w:rPr>
          <w:rStyle w:val="26"/>
          <w:rFonts w:hint="default" w:ascii="Times New Roman" w:hAnsi="Times New Roman" w:eastAsia="黑体" w:cs="Times New Roman"/>
          <w:b w:val="0"/>
          <w:color w:val="auto"/>
        </w:rPr>
        <w:t>四部分 附件</w:t>
      </w:r>
      <w:bookmarkEnd w:id="50"/>
    </w:p>
    <w:p>
      <w:pPr>
        <w:spacing w:line="600" w:lineRule="exact"/>
        <w:jc w:val="left"/>
        <w:outlineLvl w:val="0"/>
        <w:rPr>
          <w:rFonts w:hint="default" w:ascii="Times New Roman" w:hAnsi="Times New Roman" w:eastAsia="方正小标宋简体" w:cs="Times New Roman"/>
          <w:color w:val="auto"/>
          <w:sz w:val="44"/>
          <w:szCs w:val="44"/>
        </w:rPr>
      </w:pPr>
      <w:r>
        <w:rPr>
          <w:rFonts w:hint="default" w:ascii="Times New Roman" w:hAnsi="Times New Roman" w:eastAsia="黑体" w:cs="Times New Roman"/>
          <w:color w:val="auto"/>
          <w:sz w:val="32"/>
          <w:szCs w:val="32"/>
        </w:rPr>
        <w:t>附件</w:t>
      </w:r>
    </w:p>
    <w:p>
      <w:pPr>
        <w:widowControl/>
        <w:spacing w:line="580" w:lineRule="exact"/>
        <w:contextualSpacing/>
        <w:jc w:val="center"/>
        <w:rPr>
          <w:rFonts w:hint="default" w:ascii="Times New Roman" w:hAnsi="Times New Roman" w:cs="Times New Roman"/>
          <w:b/>
          <w:color w:val="FF0000"/>
          <w:sz w:val="44"/>
          <w:szCs w:val="44"/>
          <w:shd w:val="clear" w:color="auto" w:fill="FFFFFF"/>
        </w:rPr>
      </w:pPr>
    </w:p>
    <w:p>
      <w:pPr>
        <w:keepNext w:val="0"/>
        <w:keepLines w:val="0"/>
        <w:pageBreakBefore w:val="0"/>
        <w:widowControl/>
        <w:kinsoku/>
        <w:wordWrap/>
        <w:overflowPunct/>
        <w:topLinePunct w:val="0"/>
        <w:autoSpaceDE/>
        <w:autoSpaceDN/>
        <w:bidi w:val="0"/>
        <w:spacing w:line="580" w:lineRule="exact"/>
        <w:ind w:left="0" w:leftChars="0" w:right="0"/>
        <w:contextualSpacing/>
        <w:jc w:val="center"/>
        <w:textAlignment w:val="auto"/>
        <w:rPr>
          <w:rFonts w:hint="default" w:ascii="Times New Roman" w:hAnsi="Times New Roman" w:eastAsia="方正小标宋_GBK" w:cs="Times New Roman"/>
          <w:b w:val="0"/>
          <w:bCs/>
          <w:color w:val="auto"/>
          <w:sz w:val="44"/>
          <w:szCs w:val="44"/>
          <w:shd w:val="clear" w:color="auto" w:fill="FFFFFF"/>
          <w:lang w:eastAsia="zh-CN"/>
        </w:rPr>
      </w:pPr>
      <w:r>
        <w:rPr>
          <w:rFonts w:hint="default" w:ascii="Times New Roman" w:hAnsi="Times New Roman" w:eastAsia="方正小标宋_GBK" w:cs="Times New Roman"/>
          <w:b w:val="0"/>
          <w:bCs/>
          <w:color w:val="auto"/>
          <w:sz w:val="44"/>
          <w:szCs w:val="44"/>
          <w:shd w:val="clear" w:color="auto" w:fill="FFFFFF"/>
        </w:rPr>
        <w:t>20</w:t>
      </w:r>
      <w:r>
        <w:rPr>
          <w:rFonts w:hint="default" w:ascii="Times New Roman" w:hAnsi="Times New Roman" w:eastAsia="方正小标宋_GBK" w:cs="Times New Roman"/>
          <w:b w:val="0"/>
          <w:bCs/>
          <w:color w:val="auto"/>
          <w:sz w:val="44"/>
          <w:szCs w:val="44"/>
          <w:shd w:val="clear" w:color="auto" w:fill="FFFFFF"/>
          <w:lang w:val="en-US" w:eastAsia="zh-CN"/>
        </w:rPr>
        <w:t>21</w:t>
      </w:r>
      <w:r>
        <w:rPr>
          <w:rFonts w:hint="default" w:ascii="Times New Roman" w:hAnsi="Times New Roman" w:eastAsia="方正小标宋_GBK" w:cs="Times New Roman"/>
          <w:b w:val="0"/>
          <w:bCs/>
          <w:color w:val="auto"/>
          <w:sz w:val="44"/>
          <w:szCs w:val="44"/>
          <w:shd w:val="clear" w:color="auto" w:fill="FFFFFF"/>
        </w:rPr>
        <w:t>年</w:t>
      </w:r>
      <w:r>
        <w:rPr>
          <w:rFonts w:hint="default" w:ascii="Times New Roman" w:hAnsi="Times New Roman" w:eastAsia="方正小标宋_GBK" w:cs="Times New Roman"/>
          <w:b w:val="0"/>
          <w:bCs/>
          <w:color w:val="auto"/>
          <w:sz w:val="44"/>
          <w:szCs w:val="44"/>
          <w:shd w:val="clear" w:color="auto" w:fill="FFFFFF"/>
          <w:lang w:eastAsia="zh-CN"/>
        </w:rPr>
        <w:t>四川省社科联</w:t>
      </w:r>
    </w:p>
    <w:p>
      <w:pPr>
        <w:keepNext w:val="0"/>
        <w:keepLines w:val="0"/>
        <w:pageBreakBefore w:val="0"/>
        <w:widowControl/>
        <w:kinsoku/>
        <w:wordWrap/>
        <w:overflowPunct/>
        <w:topLinePunct w:val="0"/>
        <w:autoSpaceDE/>
        <w:autoSpaceDN/>
        <w:bidi w:val="0"/>
        <w:spacing w:line="580" w:lineRule="exact"/>
        <w:ind w:left="0" w:leftChars="0" w:right="0"/>
        <w:contextualSpacing/>
        <w:jc w:val="center"/>
        <w:textAlignment w:val="auto"/>
        <w:rPr>
          <w:rFonts w:hint="default" w:ascii="Times New Roman" w:hAnsi="Times New Roman" w:eastAsia="方正小标宋_GBK" w:cs="Times New Roman"/>
          <w:b w:val="0"/>
          <w:bCs/>
          <w:color w:val="auto"/>
          <w:sz w:val="44"/>
          <w:szCs w:val="44"/>
          <w:shd w:val="clear" w:color="auto" w:fill="FFFFFF"/>
        </w:rPr>
      </w:pPr>
      <w:r>
        <w:rPr>
          <w:rFonts w:hint="default" w:ascii="Times New Roman" w:hAnsi="Times New Roman" w:eastAsia="方正小标宋_GBK" w:cs="Times New Roman"/>
          <w:b w:val="0"/>
          <w:bCs/>
          <w:color w:val="auto"/>
          <w:sz w:val="44"/>
          <w:szCs w:val="44"/>
          <w:shd w:val="clear" w:color="auto" w:fill="FFFFFF"/>
        </w:rPr>
        <w:t>部门整体支出绩效评价报告</w:t>
      </w:r>
    </w:p>
    <w:p>
      <w:pPr>
        <w:keepNext w:val="0"/>
        <w:keepLines w:val="0"/>
        <w:pageBreakBefore w:val="0"/>
        <w:widowControl/>
        <w:kinsoku/>
        <w:wordWrap/>
        <w:overflowPunct/>
        <w:topLinePunct w:val="0"/>
        <w:autoSpaceDE/>
        <w:autoSpaceDN/>
        <w:bidi w:val="0"/>
        <w:spacing w:line="580" w:lineRule="exact"/>
        <w:ind w:left="0" w:leftChars="0" w:right="0"/>
        <w:contextualSpacing/>
        <w:jc w:val="both"/>
        <w:textAlignment w:val="auto"/>
        <w:rPr>
          <w:rFonts w:hint="default" w:ascii="Times New Roman" w:hAnsi="Times New Roman" w:eastAsia="宋体" w:cs="Times New Roman"/>
          <w:b/>
          <w:color w:val="auto"/>
          <w:sz w:val="44"/>
          <w:szCs w:val="44"/>
          <w:shd w:val="clear" w:color="auto" w:fill="FFFFFF"/>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jc w:val="both"/>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省财政厅：</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jc w:val="both"/>
        <w:textAlignment w:val="auto"/>
        <w:rPr>
          <w:rFonts w:hint="default" w:ascii="Times New Roman" w:hAnsi="Times New Roman" w:eastAsia="黑体"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 xml:space="preserve">    按照《财政厅关于开展20</w:t>
      </w:r>
      <w:r>
        <w:rPr>
          <w:rFonts w:hint="default" w:ascii="Times New Roman" w:hAnsi="Times New Roman" w:eastAsia="仿宋_GB2312" w:cs="Times New Roman"/>
          <w:color w:val="auto"/>
          <w:kern w:val="0"/>
          <w:sz w:val="32"/>
          <w:szCs w:val="32"/>
          <w:shd w:val="clear" w:color="auto" w:fill="FFFFFF"/>
          <w:lang w:val="en-US" w:eastAsia="zh-CN"/>
        </w:rPr>
        <w:t>22</w:t>
      </w:r>
      <w:r>
        <w:rPr>
          <w:rFonts w:hint="default" w:ascii="Times New Roman" w:hAnsi="Times New Roman" w:eastAsia="仿宋_GB2312" w:cs="Times New Roman"/>
          <w:color w:val="auto"/>
          <w:kern w:val="0"/>
          <w:sz w:val="32"/>
          <w:szCs w:val="32"/>
          <w:shd w:val="clear" w:color="auto" w:fill="FFFFFF"/>
        </w:rPr>
        <w:t>年部门</w:t>
      </w:r>
      <w:r>
        <w:rPr>
          <w:rFonts w:hint="default" w:ascii="Times New Roman" w:hAnsi="Times New Roman" w:eastAsia="仿宋_GB2312" w:cs="Times New Roman"/>
          <w:color w:val="auto"/>
          <w:kern w:val="0"/>
          <w:sz w:val="32"/>
          <w:szCs w:val="32"/>
          <w:shd w:val="clear" w:color="auto" w:fill="FFFFFF"/>
          <w:lang w:eastAsia="zh-CN"/>
        </w:rPr>
        <w:t>、政策和项目</w:t>
      </w:r>
      <w:r>
        <w:rPr>
          <w:rFonts w:hint="default" w:ascii="Times New Roman" w:hAnsi="Times New Roman" w:eastAsia="仿宋_GB2312" w:cs="Times New Roman"/>
          <w:color w:val="auto"/>
          <w:kern w:val="0"/>
          <w:sz w:val="32"/>
          <w:szCs w:val="32"/>
          <w:shd w:val="clear" w:color="auto" w:fill="FFFFFF"/>
        </w:rPr>
        <w:t>支出绩效评价工作的通知》要求，比照《</w:t>
      </w:r>
      <w:r>
        <w:rPr>
          <w:rFonts w:hint="default" w:ascii="Times New Roman" w:hAnsi="Times New Roman" w:eastAsia="仿宋_GB2312" w:cs="Times New Roman"/>
          <w:color w:val="auto"/>
          <w:kern w:val="0"/>
          <w:sz w:val="32"/>
          <w:szCs w:val="32"/>
          <w:shd w:val="clear" w:color="auto" w:fill="FFFFFF"/>
          <w:lang w:val="en-US" w:eastAsia="zh-CN"/>
        </w:rPr>
        <w:t>2022年度</w:t>
      </w:r>
      <w:r>
        <w:rPr>
          <w:rFonts w:hint="default" w:ascii="Times New Roman" w:hAnsi="Times New Roman" w:eastAsia="仿宋_GB2312" w:cs="Times New Roman"/>
          <w:color w:val="auto"/>
          <w:kern w:val="0"/>
          <w:sz w:val="32"/>
          <w:szCs w:val="32"/>
          <w:shd w:val="clear" w:color="auto" w:fill="FFFFFF"/>
        </w:rPr>
        <w:t>部门</w:t>
      </w:r>
      <w:r>
        <w:rPr>
          <w:rFonts w:hint="default" w:ascii="Times New Roman" w:hAnsi="Times New Roman" w:eastAsia="仿宋_GB2312" w:cs="Times New Roman"/>
          <w:color w:val="auto"/>
          <w:kern w:val="0"/>
          <w:sz w:val="32"/>
          <w:szCs w:val="32"/>
          <w:shd w:val="clear" w:color="auto" w:fill="FFFFFF"/>
          <w:lang w:eastAsia="zh-CN"/>
        </w:rPr>
        <w:t>整体支出</w:t>
      </w:r>
      <w:r>
        <w:rPr>
          <w:rFonts w:hint="default" w:ascii="Times New Roman" w:hAnsi="Times New Roman" w:eastAsia="仿宋_GB2312" w:cs="Times New Roman"/>
          <w:color w:val="auto"/>
          <w:kern w:val="0"/>
          <w:sz w:val="32"/>
          <w:szCs w:val="32"/>
          <w:shd w:val="clear" w:color="auto" w:fill="FFFFFF"/>
        </w:rPr>
        <w:t>绩效评价指标体系》计分标准，我单位进行了认真自评。省社科联20</w:t>
      </w:r>
      <w:r>
        <w:rPr>
          <w:rFonts w:hint="default" w:ascii="Times New Roman" w:hAnsi="Times New Roman" w:eastAsia="仿宋_GB2312" w:cs="Times New Roman"/>
          <w:color w:val="auto"/>
          <w:kern w:val="0"/>
          <w:sz w:val="32"/>
          <w:szCs w:val="32"/>
          <w:shd w:val="clear" w:color="auto" w:fill="FFFFFF"/>
          <w:lang w:val="en-US" w:eastAsia="zh-CN"/>
        </w:rPr>
        <w:t>21</w:t>
      </w:r>
      <w:r>
        <w:rPr>
          <w:rFonts w:hint="default" w:ascii="Times New Roman" w:hAnsi="Times New Roman" w:eastAsia="仿宋_GB2312" w:cs="Times New Roman"/>
          <w:color w:val="auto"/>
          <w:kern w:val="0"/>
          <w:sz w:val="32"/>
          <w:szCs w:val="32"/>
          <w:shd w:val="clear" w:color="auto" w:fill="FFFFFF"/>
        </w:rPr>
        <w:t>年财政预算绩效自评分</w:t>
      </w:r>
      <w:r>
        <w:rPr>
          <w:rFonts w:hint="default" w:ascii="Times New Roman" w:hAnsi="Times New Roman" w:eastAsia="仿宋_GB2312" w:cs="Times New Roman"/>
          <w:color w:val="auto"/>
          <w:kern w:val="0"/>
          <w:sz w:val="32"/>
          <w:szCs w:val="32"/>
          <w:shd w:val="clear" w:color="auto" w:fill="FFFFFF"/>
          <w:lang w:val="en-US" w:eastAsia="zh-CN"/>
        </w:rPr>
        <w:t>85.23</w:t>
      </w:r>
      <w:r>
        <w:rPr>
          <w:rFonts w:hint="default" w:ascii="Times New Roman" w:hAnsi="Times New Roman" w:eastAsia="仿宋_GB2312" w:cs="Times New Roman"/>
          <w:color w:val="auto"/>
          <w:kern w:val="0"/>
          <w:sz w:val="32"/>
          <w:szCs w:val="32"/>
          <w:shd w:val="clear" w:color="auto" w:fill="FFFFFF"/>
        </w:rPr>
        <w:t>分，具体情况如下：</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黑体" w:cs="Times New Roman"/>
          <w:color w:val="auto"/>
          <w:kern w:val="0"/>
          <w:sz w:val="32"/>
          <w:szCs w:val="32"/>
          <w:shd w:val="clear" w:color="auto" w:fill="FFFFFF"/>
          <w:lang w:val="zh-CN"/>
        </w:rPr>
      </w:pPr>
      <w:r>
        <w:rPr>
          <w:rFonts w:hint="default" w:ascii="Times New Roman" w:hAnsi="Times New Roman" w:eastAsia="黑体" w:cs="Times New Roman"/>
          <w:color w:val="auto"/>
          <w:kern w:val="0"/>
          <w:sz w:val="32"/>
          <w:szCs w:val="32"/>
          <w:shd w:val="clear" w:color="auto" w:fill="FFFFFF"/>
        </w:rPr>
        <w:t>一、</w:t>
      </w:r>
      <w:r>
        <w:rPr>
          <w:rFonts w:hint="default" w:ascii="Times New Roman" w:hAnsi="Times New Roman" w:eastAsia="黑体" w:cs="Times New Roman"/>
          <w:color w:val="auto"/>
          <w:kern w:val="0"/>
          <w:sz w:val="32"/>
          <w:szCs w:val="32"/>
          <w:shd w:val="clear" w:color="auto" w:fill="FFFFFF"/>
          <w:lang w:val="zh-CN"/>
        </w:rPr>
        <w:t>部门（单位）概况</w:t>
      </w:r>
    </w:p>
    <w:p>
      <w:pPr>
        <w:keepNext w:val="0"/>
        <w:keepLines w:val="0"/>
        <w:pageBreakBefore w:val="0"/>
        <w:tabs>
          <w:tab w:val="left" w:pos="3255"/>
        </w:tabs>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（一）机构组成</w:t>
      </w:r>
    </w:p>
    <w:p>
      <w:pPr>
        <w:keepNext w:val="0"/>
        <w:keepLines w:val="0"/>
        <w:pageBreakBefore w:val="0"/>
        <w:tabs>
          <w:tab w:val="left" w:pos="3255"/>
        </w:tabs>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省社科联是省委、省政府领导下的学术性人民团体，由省委宣传部代管。</w:t>
      </w:r>
      <w:r>
        <w:rPr>
          <w:rFonts w:hint="default" w:ascii="Times New Roman" w:hAnsi="Times New Roman" w:eastAsia="仿宋_GB2312" w:cs="Times New Roman"/>
          <w:color w:val="auto"/>
          <w:sz w:val="32"/>
          <w:szCs w:val="32"/>
          <w:lang w:val="zh-CN"/>
        </w:rPr>
        <w:t>根据四川省委编办最新批复的四川省社科联三定方案，我单位内设机构包括7个职能</w:t>
      </w:r>
      <w:r>
        <w:rPr>
          <w:rFonts w:hint="eastAsia" w:eastAsia="仿宋_GB2312" w:cs="Times New Roman"/>
          <w:color w:val="auto"/>
          <w:sz w:val="32"/>
          <w:szCs w:val="32"/>
          <w:lang w:val="en-US" w:eastAsia="zh-CN"/>
        </w:rPr>
        <w:t>处</w:t>
      </w:r>
      <w:r>
        <w:rPr>
          <w:rFonts w:hint="default" w:ascii="Times New Roman" w:hAnsi="Times New Roman" w:eastAsia="仿宋_GB2312" w:cs="Times New Roman"/>
          <w:color w:val="auto"/>
          <w:sz w:val="32"/>
          <w:szCs w:val="32"/>
          <w:lang w:val="zh-CN"/>
        </w:rPr>
        <w:t>室和机关党委：办公室、规划评奖</w:t>
      </w:r>
      <w:r>
        <w:rPr>
          <w:rFonts w:hint="default" w:ascii="Times New Roman" w:hAnsi="Times New Roman" w:eastAsia="仿宋_GB2312" w:cs="Times New Roman"/>
          <w:color w:val="auto"/>
          <w:sz w:val="32"/>
          <w:szCs w:val="32"/>
          <w:lang w:val="zh-CN" w:eastAsia="zh-CN"/>
        </w:rPr>
        <w:t>处</w:t>
      </w:r>
      <w:r>
        <w:rPr>
          <w:rFonts w:hint="default" w:ascii="Times New Roman" w:hAnsi="Times New Roman" w:eastAsia="仿宋_GB2312" w:cs="Times New Roman"/>
          <w:color w:val="auto"/>
          <w:sz w:val="32"/>
          <w:szCs w:val="32"/>
          <w:lang w:val="zh-CN"/>
        </w:rPr>
        <w:t>、学会</w:t>
      </w:r>
      <w:r>
        <w:rPr>
          <w:rFonts w:hint="default" w:ascii="Times New Roman" w:hAnsi="Times New Roman" w:eastAsia="仿宋_GB2312" w:cs="Times New Roman"/>
          <w:color w:val="auto"/>
          <w:sz w:val="32"/>
          <w:szCs w:val="32"/>
          <w:lang w:val="zh-CN" w:eastAsia="zh-CN"/>
        </w:rPr>
        <w:t>处</w:t>
      </w:r>
      <w:r>
        <w:rPr>
          <w:rFonts w:hint="default" w:ascii="Times New Roman" w:hAnsi="Times New Roman" w:eastAsia="仿宋_GB2312" w:cs="Times New Roman"/>
          <w:color w:val="auto"/>
          <w:sz w:val="32"/>
          <w:szCs w:val="32"/>
          <w:lang w:val="zh-CN"/>
        </w:rPr>
        <w:t>、社科普及</w:t>
      </w:r>
      <w:r>
        <w:rPr>
          <w:rFonts w:hint="default" w:ascii="Times New Roman" w:hAnsi="Times New Roman" w:eastAsia="仿宋_GB2312" w:cs="Times New Roman"/>
          <w:color w:val="auto"/>
          <w:sz w:val="32"/>
          <w:szCs w:val="32"/>
          <w:lang w:val="zh-CN" w:eastAsia="zh-CN"/>
        </w:rPr>
        <w:t>处</w:t>
      </w:r>
      <w:r>
        <w:rPr>
          <w:rFonts w:hint="default" w:ascii="Times New Roman" w:hAnsi="Times New Roman" w:eastAsia="仿宋_GB2312" w:cs="Times New Roman"/>
          <w:color w:val="auto"/>
          <w:sz w:val="32"/>
          <w:szCs w:val="32"/>
          <w:lang w:val="zh-CN"/>
        </w:rPr>
        <w:t>、编辑部、科研</w:t>
      </w:r>
      <w:r>
        <w:rPr>
          <w:rFonts w:hint="default" w:ascii="Times New Roman" w:hAnsi="Times New Roman" w:eastAsia="仿宋_GB2312" w:cs="Times New Roman"/>
          <w:color w:val="auto"/>
          <w:sz w:val="32"/>
          <w:szCs w:val="32"/>
          <w:lang w:val="zh-CN" w:eastAsia="zh-CN"/>
        </w:rPr>
        <w:t>处</w:t>
      </w:r>
      <w:r>
        <w:rPr>
          <w:rFonts w:hint="default" w:ascii="Times New Roman" w:hAnsi="Times New Roman" w:eastAsia="仿宋_GB2312" w:cs="Times New Roman"/>
          <w:color w:val="auto"/>
          <w:sz w:val="32"/>
          <w:szCs w:val="32"/>
          <w:lang w:val="zh-CN"/>
        </w:rPr>
        <w:t>、组织人事</w:t>
      </w:r>
      <w:r>
        <w:rPr>
          <w:rFonts w:hint="default" w:ascii="Times New Roman" w:hAnsi="Times New Roman" w:eastAsia="仿宋_GB2312" w:cs="Times New Roman"/>
          <w:color w:val="auto"/>
          <w:sz w:val="32"/>
          <w:szCs w:val="32"/>
          <w:lang w:val="zh-CN" w:eastAsia="zh-CN"/>
        </w:rPr>
        <w:t>处</w:t>
      </w:r>
      <w:r>
        <w:rPr>
          <w:rFonts w:hint="default" w:ascii="Times New Roman" w:hAnsi="Times New Roman" w:eastAsia="仿宋_GB2312" w:cs="Times New Roman"/>
          <w:color w:val="auto"/>
          <w:sz w:val="32"/>
          <w:szCs w:val="32"/>
          <w:lang w:val="zh-CN"/>
        </w:rPr>
        <w:t>（与机关党委合署办公）。</w:t>
      </w:r>
    </w:p>
    <w:p>
      <w:pPr>
        <w:keepNext w:val="0"/>
        <w:keepLines w:val="0"/>
        <w:pageBreakBefore w:val="0"/>
        <w:tabs>
          <w:tab w:val="left" w:pos="3255"/>
        </w:tabs>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（二）机构职能</w:t>
      </w:r>
    </w:p>
    <w:p>
      <w:pPr>
        <w:keepNext w:val="0"/>
        <w:keepLines w:val="0"/>
        <w:pageBreakBefore w:val="0"/>
        <w:tabs>
          <w:tab w:val="left" w:pos="3255"/>
        </w:tabs>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省社科联主要职能：一是团结和组织全省社会科学工作者坚持以习近平新时代中国特色社会主义思想为指导，坚决贯彻党的路线、方针、政策，巩固马克思主义在意识形态领域的指导地位；二是组织全省社会科学工作者围绕中心、服务大局，为党委、政府的科学决策提供咨询服务，加强新型智库建设；三是编制全省社会科学课题规划，管理全省社会科学规划项目，负责我省国家社科基金项目的申报和管理工作；四是承担省政府社会科学优秀成果评奖工作，安排部分获奖成果的出版、宣传、推广工作；五是负责新申报的省级社会科学学会、协会、研究会的资格审查；指导和管理全省性社会科学社会团体、市州社科联、高校社科联、民办社科研究机构;六是组织开展省内、国内和国际学术交流、调查研究、决策咨询等活动，编辑出版社会科学类书刊及相关资料，资助部分社会科学著作的出版；七是组织开展理论研究，推动和资助学科发展，扶持、培养优秀社会科学人才；八是依照《四川省科学技术普及条例》，编制全省社会科学普及规划，组织开展社会科学普及工作；九是指导和资助四川省社会科学重点研究基地和社会科学普及基地建设，开展学术研究和应用对策研究；十是参与推荐社科界创新人才、社会科学学术技术带头人及后备人选的工作。</w:t>
      </w:r>
    </w:p>
    <w:p>
      <w:pPr>
        <w:keepNext w:val="0"/>
        <w:keepLines w:val="0"/>
        <w:pageBreakBefore w:val="0"/>
        <w:tabs>
          <w:tab w:val="left" w:pos="3255"/>
        </w:tabs>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（三）人员概况</w:t>
      </w:r>
    </w:p>
    <w:p>
      <w:pPr>
        <w:keepNext w:val="0"/>
        <w:keepLines w:val="0"/>
        <w:pageBreakBefore w:val="0"/>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auto"/>
          <w:sz w:val="32"/>
          <w:szCs w:val="32"/>
          <w:lang w:val="zh-CN"/>
        </w:rPr>
        <w:t>我单位编制人数</w:t>
      </w:r>
      <w:r>
        <w:rPr>
          <w:rFonts w:hint="default" w:ascii="Times New Roman" w:hAnsi="Times New Roman" w:eastAsia="仿宋_GB2312" w:cs="Times New Roman"/>
          <w:color w:val="auto"/>
          <w:sz w:val="32"/>
          <w:szCs w:val="32"/>
          <w:lang w:val="en-US" w:eastAsia="zh-CN"/>
        </w:rPr>
        <w:t>51</w:t>
      </w:r>
      <w:r>
        <w:rPr>
          <w:rFonts w:hint="default" w:ascii="Times New Roman" w:hAnsi="Times New Roman" w:eastAsia="仿宋_GB2312" w:cs="Times New Roman"/>
          <w:color w:val="auto"/>
          <w:sz w:val="32"/>
          <w:szCs w:val="32"/>
          <w:lang w:val="zh-CN"/>
        </w:rPr>
        <w:t>人，其中事业</w:t>
      </w:r>
      <w:r>
        <w:rPr>
          <w:rFonts w:hint="default" w:ascii="Times New Roman" w:hAnsi="Times New Roman" w:eastAsia="仿宋_GB2312" w:cs="Times New Roman"/>
          <w:color w:val="auto"/>
          <w:sz w:val="32"/>
          <w:szCs w:val="32"/>
          <w:lang w:val="zh-CN" w:eastAsia="zh-CN"/>
        </w:rPr>
        <w:t>编制</w:t>
      </w:r>
      <w:r>
        <w:rPr>
          <w:rFonts w:hint="default" w:ascii="Times New Roman" w:hAnsi="Times New Roman" w:eastAsia="仿宋_GB2312" w:cs="Times New Roman"/>
          <w:color w:val="auto"/>
          <w:sz w:val="32"/>
          <w:szCs w:val="32"/>
          <w:lang w:val="en-US" w:eastAsia="zh-CN"/>
        </w:rPr>
        <w:t>49</w:t>
      </w:r>
      <w:r>
        <w:rPr>
          <w:rFonts w:hint="default" w:ascii="Times New Roman" w:hAnsi="Times New Roman" w:eastAsia="仿宋_GB2312" w:cs="Times New Roman"/>
          <w:color w:val="auto"/>
          <w:sz w:val="32"/>
          <w:szCs w:val="32"/>
          <w:lang w:val="zh-CN" w:eastAsia="zh-CN"/>
        </w:rPr>
        <w:t>人</w:t>
      </w:r>
      <w:r>
        <w:rPr>
          <w:rFonts w:hint="default" w:ascii="Times New Roman" w:hAnsi="Times New Roman" w:eastAsia="仿宋_GB2312" w:cs="Times New Roman"/>
          <w:color w:val="auto"/>
          <w:sz w:val="32"/>
          <w:szCs w:val="32"/>
          <w:lang w:val="zh-CN"/>
        </w:rPr>
        <w:t>，工勤编制2人。在职实有人数4</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人，其中参照公务员管理人员4</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人，离休人员</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rPr>
        <w:t>人，退休人员</w:t>
      </w:r>
      <w:r>
        <w:rPr>
          <w:rFonts w:hint="default" w:ascii="Times New Roman" w:hAnsi="Times New Roman" w:eastAsia="仿宋_GB2312" w:cs="Times New Roman"/>
          <w:color w:val="auto"/>
          <w:sz w:val="32"/>
          <w:szCs w:val="32"/>
          <w:lang w:val="en-US" w:eastAsia="zh-CN"/>
        </w:rPr>
        <w:t>42</w:t>
      </w:r>
      <w:r>
        <w:rPr>
          <w:rFonts w:hint="default" w:ascii="Times New Roman" w:hAnsi="Times New Roman" w:eastAsia="仿宋_GB2312" w:cs="Times New Roman"/>
          <w:color w:val="auto"/>
          <w:sz w:val="32"/>
          <w:szCs w:val="32"/>
          <w:lang w:val="zh-CN"/>
        </w:rPr>
        <w:t>人。</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黑体" w:cs="Times New Roman"/>
          <w:color w:val="auto"/>
          <w:kern w:val="0"/>
          <w:sz w:val="32"/>
          <w:szCs w:val="32"/>
          <w:shd w:val="clear" w:color="auto" w:fill="FFFFFF"/>
        </w:rPr>
      </w:pPr>
      <w:r>
        <w:rPr>
          <w:rFonts w:hint="default" w:ascii="Times New Roman" w:hAnsi="Times New Roman" w:eastAsia="黑体" w:cs="Times New Roman"/>
          <w:color w:val="auto"/>
          <w:kern w:val="0"/>
          <w:sz w:val="32"/>
          <w:szCs w:val="32"/>
          <w:shd w:val="clear" w:color="auto" w:fill="FFFFFF"/>
        </w:rPr>
        <w:t>二、部门财政资金收支情况</w:t>
      </w:r>
    </w:p>
    <w:p>
      <w:pPr>
        <w:keepNext w:val="0"/>
        <w:keepLines w:val="0"/>
        <w:pageBreakBefore w:val="0"/>
        <w:tabs>
          <w:tab w:val="left" w:pos="3255"/>
        </w:tabs>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楷体_GB2312" w:cs="Times New Roman"/>
          <w:color w:val="auto"/>
          <w:sz w:val="32"/>
          <w:szCs w:val="32"/>
          <w:lang w:val="zh-CN"/>
        </w:rPr>
      </w:pPr>
      <w:r>
        <w:rPr>
          <w:rFonts w:hint="default" w:ascii="Times New Roman" w:hAnsi="Times New Roman" w:eastAsia="楷体_GB2312" w:cs="Times New Roman"/>
          <w:color w:val="auto"/>
          <w:sz w:val="32"/>
          <w:szCs w:val="32"/>
          <w:lang w:val="zh-CN"/>
        </w:rPr>
        <w:t>（一）部门财政资金收入情况</w:t>
      </w:r>
    </w:p>
    <w:p>
      <w:pPr>
        <w:keepNext w:val="0"/>
        <w:keepLines w:val="0"/>
        <w:pageBreakBefore w:val="0"/>
        <w:kinsoku/>
        <w:wordWrap/>
        <w:overflowPunct/>
        <w:topLinePunct w:val="0"/>
        <w:autoSpaceDE/>
        <w:autoSpaceDN/>
        <w:bidi w:val="0"/>
        <w:spacing w:line="58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val="zh-CN"/>
        </w:rPr>
        <w:t>年省社科联收入合计</w:t>
      </w:r>
      <w:r>
        <w:rPr>
          <w:rFonts w:hint="default" w:ascii="Times New Roman" w:hAnsi="Times New Roman" w:eastAsia="仿宋_GB2312" w:cs="Times New Roman"/>
          <w:color w:val="auto"/>
          <w:sz w:val="32"/>
          <w:szCs w:val="32"/>
        </w:rPr>
        <w:t>4600.31</w:t>
      </w:r>
      <w:r>
        <w:rPr>
          <w:rFonts w:hint="default" w:ascii="Times New Roman" w:hAnsi="Times New Roman" w:eastAsia="仿宋_GB2312" w:cs="Times New Roman"/>
          <w:color w:val="auto"/>
          <w:sz w:val="32"/>
          <w:szCs w:val="32"/>
          <w:lang w:val="zh-CN"/>
        </w:rPr>
        <w:t>万元，其中：财政拨款收入</w:t>
      </w:r>
      <w:r>
        <w:rPr>
          <w:rFonts w:hint="default" w:ascii="Times New Roman" w:hAnsi="Times New Roman" w:eastAsia="仿宋_GB2312" w:cs="Times New Roman"/>
          <w:color w:val="auto"/>
          <w:sz w:val="32"/>
          <w:szCs w:val="32"/>
        </w:rPr>
        <w:t>4600.31</w:t>
      </w:r>
      <w:r>
        <w:rPr>
          <w:rFonts w:hint="default" w:ascii="Times New Roman" w:hAnsi="Times New Roman" w:eastAsia="仿宋_GB2312" w:cs="Times New Roman"/>
          <w:color w:val="auto"/>
          <w:sz w:val="32"/>
          <w:szCs w:val="32"/>
          <w:lang w:val="zh-CN"/>
        </w:rPr>
        <w:t>万元，在本年度执行过程中，又新下达了经费：①在职人员其他工资福利出支</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rPr>
        <w:t>离退休人员其他对个人和家庭的补助支出购租补贴、</w:t>
      </w:r>
      <w:r>
        <w:rPr>
          <w:rFonts w:hint="default" w:ascii="Times New Roman" w:hAnsi="Times New Roman" w:eastAsia="仿宋_GB2312" w:cs="Times New Roman"/>
          <w:bCs/>
          <w:color w:val="auto"/>
          <w:sz w:val="32"/>
          <w:szCs w:val="32"/>
          <w:lang w:val="en-US" w:eastAsia="zh-CN"/>
        </w:rPr>
        <w:t>丧葬抚恤金</w:t>
      </w:r>
      <w:r>
        <w:rPr>
          <w:rFonts w:hint="default" w:ascii="Times New Roman" w:hAnsi="Times New Roman" w:eastAsia="仿宋_GB2312" w:cs="Times New Roman"/>
          <w:color w:val="auto"/>
          <w:sz w:val="32"/>
          <w:szCs w:val="32"/>
          <w:lang w:val="zh-CN" w:eastAsia="zh-CN"/>
        </w:rPr>
        <w:t>等基本支出合计</w:t>
      </w:r>
      <w:r>
        <w:rPr>
          <w:rFonts w:hint="default" w:ascii="Times New Roman" w:hAnsi="Times New Roman" w:eastAsia="仿宋_GB2312" w:cs="Times New Roman"/>
          <w:color w:val="auto"/>
          <w:sz w:val="32"/>
          <w:szCs w:val="32"/>
          <w:lang w:val="en-US" w:eastAsia="zh-CN"/>
        </w:rPr>
        <w:t>582.61</w:t>
      </w:r>
      <w:r>
        <w:rPr>
          <w:rFonts w:hint="default" w:ascii="Times New Roman" w:hAnsi="Times New Roman" w:eastAsia="仿宋_GB2312" w:cs="Times New Roman"/>
          <w:color w:val="auto"/>
          <w:sz w:val="32"/>
          <w:szCs w:val="32"/>
          <w:lang w:val="zh-CN"/>
        </w:rPr>
        <w:t>万元；②</w:t>
      </w:r>
      <w:r>
        <w:rPr>
          <w:rFonts w:hint="default" w:ascii="Times New Roman" w:hAnsi="Times New Roman" w:eastAsia="仿宋_GB2312" w:cs="Times New Roman"/>
          <w:color w:val="auto"/>
          <w:sz w:val="32"/>
          <w:szCs w:val="32"/>
          <w:lang w:val="zh-CN" w:eastAsia="zh-CN"/>
        </w:rPr>
        <w:t>宣传文化事业发展专项资金</w:t>
      </w:r>
      <w:r>
        <w:rPr>
          <w:rFonts w:hint="default" w:ascii="Times New Roman" w:hAnsi="Times New Roman" w:eastAsia="仿宋_GB2312" w:cs="Times New Roman"/>
          <w:color w:val="auto"/>
          <w:sz w:val="32"/>
          <w:szCs w:val="32"/>
          <w:lang w:val="en-US" w:eastAsia="zh-CN"/>
        </w:rPr>
        <w:t>108万元。</w:t>
      </w:r>
    </w:p>
    <w:p>
      <w:pPr>
        <w:keepNext w:val="0"/>
        <w:keepLines w:val="0"/>
        <w:pageBreakBefore w:val="0"/>
        <w:tabs>
          <w:tab w:val="left" w:pos="3255"/>
        </w:tabs>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楷体_GB2312" w:cs="Times New Roman"/>
          <w:color w:val="auto"/>
          <w:sz w:val="32"/>
          <w:szCs w:val="32"/>
          <w:lang w:val="zh-CN"/>
        </w:rPr>
      </w:pPr>
      <w:r>
        <w:rPr>
          <w:rFonts w:hint="default" w:ascii="Times New Roman" w:hAnsi="Times New Roman" w:eastAsia="楷体_GB2312" w:cs="Times New Roman"/>
          <w:color w:val="auto"/>
          <w:sz w:val="32"/>
          <w:szCs w:val="32"/>
          <w:lang w:val="zh-CN"/>
        </w:rPr>
        <w:t>（</w:t>
      </w: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val="zh-CN"/>
        </w:rPr>
        <w:t>部门财政资金支出情况</w:t>
      </w:r>
    </w:p>
    <w:p>
      <w:pPr>
        <w:keepNext w:val="0"/>
        <w:keepLines w:val="0"/>
        <w:pageBreakBefore w:val="0"/>
        <w:kinsoku/>
        <w:wordWrap/>
        <w:overflowPunct/>
        <w:topLinePunct w:val="0"/>
        <w:autoSpaceDE/>
        <w:autoSpaceDN/>
        <w:bidi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年省社科联本年支出合计4600.31万元，其中：基本支出1698.25万元，占37%；项目支出2902.07万元，占63%</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numPr>
          <w:ilvl w:val="0"/>
          <w:numId w:val="4"/>
        </w:numPr>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黑体" w:cs="Times New Roman"/>
          <w:color w:val="auto"/>
          <w:kern w:val="0"/>
          <w:sz w:val="32"/>
          <w:szCs w:val="32"/>
          <w:shd w:val="clear" w:color="auto" w:fill="FFFFFF"/>
        </w:rPr>
      </w:pPr>
      <w:r>
        <w:rPr>
          <w:rFonts w:hint="default" w:ascii="Times New Roman" w:hAnsi="Times New Roman" w:eastAsia="黑体" w:cs="Times New Roman"/>
          <w:color w:val="auto"/>
          <w:kern w:val="0"/>
          <w:sz w:val="32"/>
          <w:szCs w:val="32"/>
          <w:shd w:val="clear" w:color="auto" w:fill="FFFFFF"/>
        </w:rPr>
        <w:t>部门整体预算绩效管理情况（根据适用指标体系进行调整</w:t>
      </w:r>
      <w:r>
        <w:rPr>
          <w:rFonts w:hint="default" w:ascii="Times New Roman" w:hAnsi="Times New Roman" w:eastAsia="黑体" w:cs="Times New Roman"/>
          <w:color w:val="auto"/>
          <w:kern w:val="0"/>
          <w:sz w:val="32"/>
          <w:szCs w:val="32"/>
          <w:shd w:val="clear" w:color="auto" w:fill="FFFFFF"/>
          <w:lang w:eastAsia="zh-CN"/>
        </w:rPr>
        <w:t>，涉及到有专项预算的部门，专项预算项目自评报告根据要求另行单独报送</w:t>
      </w:r>
      <w:r>
        <w:rPr>
          <w:rFonts w:hint="default" w:ascii="Times New Roman" w:hAnsi="Times New Roman" w:eastAsia="黑体" w:cs="Times New Roman"/>
          <w:color w:val="auto"/>
          <w:kern w:val="0"/>
          <w:sz w:val="32"/>
          <w:szCs w:val="32"/>
          <w:shd w:val="clear" w:color="auto" w:fill="FFFFFF"/>
        </w:rPr>
        <w:t>）</w:t>
      </w:r>
    </w:p>
    <w:p>
      <w:pPr>
        <w:keepNext w:val="0"/>
        <w:keepLines w:val="0"/>
        <w:pageBreakBefore w:val="0"/>
        <w:numPr>
          <w:ilvl w:val="0"/>
          <w:numId w:val="0"/>
        </w:numPr>
        <w:kinsoku/>
        <w:wordWrap/>
        <w:overflowPunct/>
        <w:topLinePunct w:val="0"/>
        <w:autoSpaceDE/>
        <w:autoSpaceDN/>
        <w:bidi w:val="0"/>
        <w:spacing w:line="580" w:lineRule="exact"/>
        <w:ind w:left="0" w:leftChars="0" w:right="0" w:firstLine="640" w:firstLineChars="200"/>
        <w:jc w:val="both"/>
        <w:textAlignment w:val="auto"/>
        <w:rPr>
          <w:rFonts w:hint="default" w:ascii="Times New Roman" w:hAnsi="Times New Roman" w:eastAsia="仿宋_GB2312" w:cs="Times New Roman"/>
          <w:b/>
          <w:color w:val="auto"/>
          <w:sz w:val="30"/>
          <w:szCs w:val="30"/>
        </w:rPr>
      </w:pPr>
      <w:r>
        <w:rPr>
          <w:rFonts w:hint="default" w:ascii="Times New Roman" w:hAnsi="Times New Roman" w:eastAsia="楷体_GB2312" w:cs="Times New Roman"/>
          <w:color w:val="auto"/>
          <w:sz w:val="32"/>
          <w:szCs w:val="32"/>
          <w:lang w:val="zh-CN"/>
        </w:rPr>
        <w:t>（一）部门预算项目绩效管理</w:t>
      </w:r>
      <w:r>
        <w:rPr>
          <w:rFonts w:hint="default" w:ascii="Times New Roman" w:hAnsi="Times New Roman" w:eastAsia="仿宋_GB2312" w:cs="Times New Roman"/>
          <w:b/>
          <w:color w:val="auto"/>
          <w:sz w:val="30"/>
          <w:szCs w:val="30"/>
        </w:rPr>
        <w:t>（满分</w:t>
      </w:r>
      <w:r>
        <w:rPr>
          <w:rFonts w:hint="default" w:ascii="Times New Roman" w:hAnsi="Times New Roman" w:eastAsia="仿宋_GB2312" w:cs="Times New Roman"/>
          <w:b/>
          <w:color w:val="auto"/>
          <w:sz w:val="30"/>
          <w:szCs w:val="30"/>
          <w:lang w:val="en-US" w:eastAsia="zh-CN"/>
        </w:rPr>
        <w:t>70</w:t>
      </w:r>
      <w:r>
        <w:rPr>
          <w:rFonts w:hint="default" w:ascii="Times New Roman" w:hAnsi="Times New Roman" w:eastAsia="仿宋_GB2312" w:cs="Times New Roman"/>
          <w:b/>
          <w:color w:val="auto"/>
          <w:sz w:val="30"/>
          <w:szCs w:val="30"/>
        </w:rPr>
        <w:t>分，自评分</w:t>
      </w:r>
      <w:r>
        <w:rPr>
          <w:rFonts w:hint="default" w:ascii="Times New Roman" w:hAnsi="Times New Roman" w:eastAsia="仿宋_GB2312" w:cs="Times New Roman"/>
          <w:b/>
          <w:color w:val="auto"/>
          <w:sz w:val="30"/>
          <w:szCs w:val="30"/>
          <w:lang w:val="en-US" w:eastAsia="zh-CN"/>
        </w:rPr>
        <w:t>55.23</w:t>
      </w:r>
      <w:r>
        <w:rPr>
          <w:rFonts w:hint="default" w:ascii="Times New Roman" w:hAnsi="Times New Roman" w:eastAsia="仿宋_GB2312" w:cs="Times New Roman"/>
          <w:b/>
          <w:color w:val="auto"/>
          <w:sz w:val="30"/>
          <w:szCs w:val="30"/>
        </w:rPr>
        <w:t>）</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auto"/>
          <w:kern w:val="0"/>
          <w:sz w:val="32"/>
          <w:szCs w:val="32"/>
          <w:shd w:val="clear" w:color="auto" w:fill="FFFFFF"/>
          <w:lang w:val="en-US" w:eastAsia="zh-CN"/>
        </w:rPr>
        <w:t>1.</w:t>
      </w:r>
      <w:r>
        <w:rPr>
          <w:rFonts w:hint="default" w:ascii="Times New Roman" w:hAnsi="Times New Roman" w:eastAsia="仿宋_GB2312" w:cs="Times New Roman"/>
          <w:color w:val="auto"/>
          <w:kern w:val="0"/>
          <w:sz w:val="32"/>
          <w:szCs w:val="32"/>
          <w:shd w:val="clear" w:color="auto" w:fill="FFFFFF"/>
          <w:lang w:val="zh-CN"/>
        </w:rPr>
        <w:t>目标制定方面。收集整理各处所涉预算项目2021年度目标任务，对整体支出和100万元以上部门预算项目编制目标绩效表，确保目标绩效的编制和部门职责、部门中长期规划相符，全面反映部门目标任务和预期效益情况。</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auto"/>
          <w:kern w:val="0"/>
          <w:sz w:val="32"/>
          <w:szCs w:val="32"/>
          <w:shd w:val="clear" w:color="auto" w:fill="FFFFFF"/>
          <w:lang w:val="en-US" w:eastAsia="zh-CN"/>
        </w:rPr>
        <w:t>2.目标任务实现方面。</w:t>
      </w:r>
      <w:r>
        <w:rPr>
          <w:rFonts w:hint="default" w:ascii="Times New Roman" w:hAnsi="Times New Roman" w:eastAsia="仿宋_GB2312" w:cs="Times New Roman"/>
          <w:color w:val="auto"/>
          <w:kern w:val="0"/>
          <w:sz w:val="32"/>
          <w:szCs w:val="32"/>
          <w:shd w:val="clear" w:color="auto" w:fill="FFFFFF"/>
          <w:lang w:val="zh-CN"/>
        </w:rPr>
        <w:t>根据部门</w:t>
      </w:r>
      <w:r>
        <w:rPr>
          <w:rFonts w:hint="default" w:ascii="Times New Roman" w:hAnsi="Times New Roman" w:eastAsia="仿宋_GB2312" w:cs="Times New Roman"/>
          <w:color w:val="auto"/>
          <w:kern w:val="0"/>
          <w:sz w:val="32"/>
          <w:szCs w:val="32"/>
          <w:shd w:val="clear" w:color="auto" w:fill="FFFFFF"/>
          <w:lang w:val="zh-CN" w:eastAsia="zh-CN"/>
        </w:rPr>
        <w:t>整体支出</w:t>
      </w:r>
      <w:r>
        <w:rPr>
          <w:rFonts w:hint="default" w:ascii="Times New Roman" w:hAnsi="Times New Roman" w:eastAsia="仿宋_GB2312" w:cs="Times New Roman"/>
          <w:color w:val="auto"/>
          <w:kern w:val="0"/>
          <w:sz w:val="32"/>
          <w:szCs w:val="32"/>
          <w:shd w:val="clear" w:color="auto" w:fill="FFFFFF"/>
          <w:lang w:val="zh-CN"/>
        </w:rPr>
        <w:t>绩效评价指标体系，从整体看</w:t>
      </w:r>
      <w:r>
        <w:rPr>
          <w:rFonts w:hint="default" w:ascii="Times New Roman" w:hAnsi="Times New Roman" w:eastAsia="仿宋_GB2312" w:cs="Times New Roman"/>
          <w:color w:val="auto"/>
          <w:kern w:val="0"/>
          <w:sz w:val="32"/>
          <w:szCs w:val="32"/>
          <w:shd w:val="clear" w:color="auto" w:fill="FFFFFF"/>
          <w:lang w:val="en-US" w:eastAsia="zh-CN"/>
        </w:rPr>
        <w:t>，</w:t>
      </w:r>
      <w:r>
        <w:rPr>
          <w:rFonts w:hint="default" w:ascii="Times New Roman" w:hAnsi="Times New Roman" w:eastAsia="仿宋_GB2312" w:cs="Times New Roman"/>
          <w:color w:val="auto"/>
          <w:kern w:val="0"/>
          <w:sz w:val="32"/>
          <w:szCs w:val="32"/>
          <w:shd w:val="clear" w:color="auto" w:fill="FFFFFF"/>
          <w:lang w:val="zh-CN"/>
        </w:rPr>
        <w:t>20</w:t>
      </w:r>
      <w:r>
        <w:rPr>
          <w:rFonts w:hint="default" w:ascii="Times New Roman" w:hAnsi="Times New Roman" w:eastAsia="仿宋_GB2312" w:cs="Times New Roman"/>
          <w:color w:val="auto"/>
          <w:kern w:val="0"/>
          <w:sz w:val="32"/>
          <w:szCs w:val="32"/>
          <w:shd w:val="clear" w:color="auto" w:fill="FFFFFF"/>
          <w:lang w:val="en-US" w:eastAsia="zh-CN"/>
        </w:rPr>
        <w:t>21</w:t>
      </w:r>
      <w:r>
        <w:rPr>
          <w:rFonts w:hint="default" w:ascii="Times New Roman" w:hAnsi="Times New Roman" w:eastAsia="仿宋_GB2312" w:cs="Times New Roman"/>
          <w:color w:val="auto"/>
          <w:kern w:val="0"/>
          <w:sz w:val="32"/>
          <w:szCs w:val="32"/>
          <w:shd w:val="clear" w:color="auto" w:fill="FFFFFF"/>
          <w:lang w:val="zh-CN"/>
        </w:rPr>
        <w:t>年</w:t>
      </w:r>
      <w:r>
        <w:rPr>
          <w:rFonts w:hint="default" w:ascii="Times New Roman" w:hAnsi="Times New Roman" w:eastAsia="仿宋_GB2312" w:cs="Times New Roman"/>
          <w:color w:val="auto"/>
          <w:kern w:val="0"/>
          <w:sz w:val="32"/>
          <w:szCs w:val="32"/>
          <w:shd w:val="clear" w:color="auto" w:fill="FFFFFF"/>
          <w:lang w:val="zh-CN" w:eastAsia="zh-CN"/>
        </w:rPr>
        <w:t>省社科联</w:t>
      </w:r>
      <w:r>
        <w:rPr>
          <w:rFonts w:hint="default" w:ascii="Times New Roman" w:hAnsi="Times New Roman" w:eastAsia="仿宋_GB2312" w:cs="Times New Roman"/>
          <w:color w:val="auto"/>
          <w:kern w:val="0"/>
          <w:sz w:val="32"/>
          <w:szCs w:val="32"/>
          <w:shd w:val="clear" w:color="auto" w:fill="FFFFFF"/>
          <w:lang w:val="zh-CN"/>
        </w:rPr>
        <w:t>资金运行维护决策正确，资金管理规范，项目管理到位，政策执行有力，有效发挥了财政资金的使用效率。</w:t>
      </w:r>
      <w:r>
        <w:rPr>
          <w:rFonts w:hint="default" w:ascii="Times New Roman" w:hAnsi="Times New Roman" w:eastAsia="仿宋_GB2312" w:cs="Times New Roman"/>
          <w:color w:val="auto"/>
          <w:kern w:val="0"/>
          <w:sz w:val="32"/>
          <w:szCs w:val="32"/>
          <w:shd w:val="clear" w:color="auto" w:fill="FFFFFF"/>
          <w:lang w:val="zh-CN" w:eastAsia="zh-CN"/>
        </w:rPr>
        <w:t>省社科联</w:t>
      </w:r>
      <w:r>
        <w:rPr>
          <w:rFonts w:hint="default" w:ascii="Times New Roman" w:hAnsi="Times New Roman" w:eastAsia="仿宋_GB2312" w:cs="Times New Roman"/>
          <w:color w:val="auto"/>
          <w:kern w:val="0"/>
          <w:sz w:val="32"/>
          <w:szCs w:val="32"/>
          <w:shd w:val="clear" w:color="auto" w:fill="FFFFFF"/>
          <w:lang w:val="zh-CN"/>
        </w:rPr>
        <w:t>人员经费用于按期直发工资及离退休费等、人员的医疗费等，公用经费保证机关工作日常运转。</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sz w:val="32"/>
          <w:szCs w:val="32"/>
          <w:lang w:val="zh-CN"/>
        </w:rPr>
        <w:t>在项目资金使用方面，省财政厅下达了项目资金后，我们就依据开展工作所对应的职能，对各项目资金专款专用、并依</w:t>
      </w:r>
      <w:r>
        <w:rPr>
          <w:rFonts w:hint="default" w:ascii="Times New Roman" w:hAnsi="Times New Roman" w:eastAsia="仿宋_GB2312" w:cs="Times New Roman"/>
          <w:color w:val="auto"/>
          <w:kern w:val="0"/>
          <w:sz w:val="32"/>
          <w:szCs w:val="32"/>
          <w:shd w:val="clear" w:color="auto" w:fill="FFFFFF"/>
          <w:lang w:val="zh-CN" w:eastAsia="zh-CN"/>
        </w:rPr>
        <w:t>据经济科目合理使用。现对</w:t>
      </w:r>
      <w:r>
        <w:rPr>
          <w:rFonts w:hint="default" w:ascii="Times New Roman" w:hAnsi="Times New Roman" w:eastAsia="仿宋_GB2312" w:cs="Times New Roman"/>
          <w:color w:val="auto"/>
          <w:kern w:val="0"/>
          <w:sz w:val="32"/>
          <w:szCs w:val="32"/>
          <w:shd w:val="clear" w:color="auto" w:fill="FFFFFF"/>
          <w:lang w:val="en-US" w:eastAsia="zh-CN"/>
        </w:rPr>
        <w:t>5个部门预算项目绩效目标实现情况进行阐述：</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zh-CN" w:eastAsia="zh-CN"/>
        </w:rPr>
      </w:pPr>
      <w:r>
        <w:rPr>
          <w:rFonts w:hint="default" w:ascii="Times New Roman" w:hAnsi="Times New Roman" w:eastAsia="仿宋_GB2312" w:cs="Times New Roman"/>
          <w:color w:val="auto"/>
          <w:kern w:val="0"/>
          <w:sz w:val="32"/>
          <w:szCs w:val="32"/>
          <w:shd w:val="clear" w:color="auto" w:fill="FFFFFF"/>
          <w:lang w:val="en-US" w:eastAsia="zh-CN"/>
        </w:rPr>
        <w:t>（1）</w:t>
      </w:r>
      <w:r>
        <w:rPr>
          <w:rFonts w:hint="default" w:ascii="Times New Roman" w:hAnsi="Times New Roman" w:eastAsia="仿宋_GB2312" w:cs="Times New Roman"/>
          <w:color w:val="auto"/>
          <w:kern w:val="0"/>
          <w:sz w:val="32"/>
          <w:szCs w:val="32"/>
          <w:shd w:val="clear" w:color="auto" w:fill="FFFFFF"/>
          <w:lang w:val="zh-CN" w:eastAsia="zh-CN"/>
        </w:rPr>
        <w:t>社科学术活动及课题研究管经费项目</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zh-CN" w:eastAsia="zh-CN"/>
        </w:rPr>
      </w:pPr>
      <w:r>
        <w:rPr>
          <w:rFonts w:hint="default" w:ascii="Times New Roman" w:hAnsi="Times New Roman" w:eastAsia="仿宋_GB2312" w:cs="Times New Roman"/>
          <w:color w:val="auto"/>
          <w:kern w:val="0"/>
          <w:sz w:val="32"/>
          <w:szCs w:val="32"/>
          <w:shd w:val="clear" w:color="auto" w:fill="FFFFFF"/>
          <w:lang w:val="zh-CN" w:eastAsia="zh-CN"/>
        </w:rPr>
        <w:t>社科学术活动及课题研究管经费项目预算经费</w:t>
      </w:r>
      <w:r>
        <w:rPr>
          <w:rFonts w:hint="default" w:ascii="Times New Roman" w:hAnsi="Times New Roman" w:eastAsia="仿宋_GB2312" w:cs="Times New Roman"/>
          <w:color w:val="auto"/>
          <w:kern w:val="0"/>
          <w:sz w:val="32"/>
          <w:szCs w:val="32"/>
          <w:shd w:val="clear" w:color="auto" w:fill="FFFFFF"/>
          <w:lang w:val="en-US" w:eastAsia="zh-CN"/>
        </w:rPr>
        <w:t>930.13</w:t>
      </w:r>
      <w:r>
        <w:rPr>
          <w:rFonts w:hint="default" w:ascii="Times New Roman" w:hAnsi="Times New Roman" w:eastAsia="仿宋_GB2312" w:cs="Times New Roman"/>
          <w:color w:val="auto"/>
          <w:kern w:val="0"/>
          <w:sz w:val="32"/>
          <w:szCs w:val="32"/>
          <w:shd w:val="clear" w:color="auto" w:fill="FFFFFF"/>
          <w:lang w:val="zh-CN" w:eastAsia="zh-CN"/>
        </w:rPr>
        <w:t>万元，项目绩效目标计划全年完成省社科规划项目的评审立项，重大项目</w:t>
      </w:r>
      <w:r>
        <w:rPr>
          <w:rFonts w:hint="default" w:ascii="Times New Roman" w:hAnsi="Times New Roman" w:eastAsia="仿宋_GB2312" w:cs="Times New Roman"/>
          <w:color w:val="auto"/>
          <w:kern w:val="0"/>
          <w:sz w:val="32"/>
          <w:szCs w:val="32"/>
          <w:shd w:val="clear" w:color="auto" w:fill="FFFFFF"/>
          <w:lang w:val="en-US" w:eastAsia="zh-CN"/>
        </w:rPr>
        <w:t>15</w:t>
      </w:r>
      <w:r>
        <w:rPr>
          <w:rFonts w:hint="default" w:ascii="Times New Roman" w:hAnsi="Times New Roman" w:eastAsia="仿宋_GB2312" w:cs="Times New Roman"/>
          <w:color w:val="auto"/>
          <w:kern w:val="0"/>
          <w:sz w:val="32"/>
          <w:szCs w:val="32"/>
          <w:shd w:val="clear" w:color="auto" w:fill="FFFFFF"/>
          <w:lang w:val="zh-CN" w:eastAsia="zh-CN"/>
        </w:rPr>
        <w:t>项，重点项目、一般项目、青年项目</w:t>
      </w:r>
      <w:r>
        <w:rPr>
          <w:rFonts w:hint="default" w:ascii="Times New Roman" w:hAnsi="Times New Roman" w:eastAsia="仿宋_GB2312" w:cs="Times New Roman"/>
          <w:color w:val="auto"/>
          <w:kern w:val="0"/>
          <w:sz w:val="32"/>
          <w:szCs w:val="32"/>
          <w:shd w:val="clear" w:color="auto" w:fill="FFFFFF"/>
          <w:lang w:val="en-US" w:eastAsia="zh-CN"/>
        </w:rPr>
        <w:t>3</w:t>
      </w:r>
      <w:r>
        <w:rPr>
          <w:rFonts w:hint="default" w:ascii="Times New Roman" w:hAnsi="Times New Roman" w:eastAsia="仿宋_GB2312" w:cs="Times New Roman"/>
          <w:color w:val="auto"/>
          <w:kern w:val="0"/>
          <w:sz w:val="32"/>
          <w:szCs w:val="32"/>
          <w:shd w:val="clear" w:color="auto" w:fill="FFFFFF"/>
          <w:lang w:val="zh-CN" w:eastAsia="zh-CN"/>
        </w:rPr>
        <w:t>00项，专项项目</w:t>
      </w:r>
      <w:r>
        <w:rPr>
          <w:rFonts w:hint="default" w:ascii="Times New Roman" w:hAnsi="Times New Roman" w:eastAsia="仿宋_GB2312" w:cs="Times New Roman"/>
          <w:color w:val="auto"/>
          <w:kern w:val="0"/>
          <w:sz w:val="32"/>
          <w:szCs w:val="32"/>
          <w:shd w:val="clear" w:color="auto" w:fill="FFFFFF"/>
          <w:lang w:val="en-US" w:eastAsia="zh-CN"/>
        </w:rPr>
        <w:t>60项，</w:t>
      </w:r>
      <w:r>
        <w:rPr>
          <w:rFonts w:hint="default" w:ascii="Times New Roman" w:hAnsi="Times New Roman" w:eastAsia="仿宋_GB2312" w:cs="Times New Roman"/>
          <w:color w:val="auto"/>
          <w:kern w:val="0"/>
          <w:sz w:val="32"/>
          <w:szCs w:val="32"/>
          <w:shd w:val="clear" w:color="auto" w:fill="FFFFFF"/>
          <w:lang w:val="zh-CN" w:eastAsia="zh-CN"/>
        </w:rPr>
        <w:t>对</w:t>
      </w:r>
      <w:r>
        <w:rPr>
          <w:rFonts w:hint="default" w:ascii="Times New Roman" w:hAnsi="Times New Roman" w:eastAsia="仿宋_GB2312" w:cs="Times New Roman"/>
          <w:color w:val="auto"/>
          <w:kern w:val="0"/>
          <w:sz w:val="32"/>
          <w:szCs w:val="32"/>
          <w:shd w:val="clear" w:color="auto" w:fill="FFFFFF"/>
          <w:lang w:val="en-US" w:eastAsia="zh-CN"/>
        </w:rPr>
        <w:t>2021年申报</w:t>
      </w:r>
      <w:r>
        <w:rPr>
          <w:rFonts w:hint="default" w:ascii="Times New Roman" w:hAnsi="Times New Roman" w:eastAsia="仿宋_GB2312" w:cs="Times New Roman"/>
          <w:color w:val="auto"/>
          <w:kern w:val="0"/>
          <w:sz w:val="32"/>
          <w:szCs w:val="32"/>
          <w:shd w:val="clear" w:color="auto" w:fill="FFFFFF"/>
          <w:lang w:val="zh-CN" w:eastAsia="zh-CN"/>
        </w:rPr>
        <w:t>国家社科基金项目</w:t>
      </w:r>
      <w:r>
        <w:rPr>
          <w:rFonts w:hint="default" w:ascii="Times New Roman" w:hAnsi="Times New Roman" w:eastAsia="仿宋_GB2312" w:cs="Times New Roman"/>
          <w:color w:val="auto"/>
          <w:kern w:val="0"/>
          <w:sz w:val="32"/>
          <w:szCs w:val="32"/>
          <w:shd w:val="clear" w:color="auto" w:fill="FFFFFF"/>
          <w:lang w:val="en-US" w:eastAsia="zh-CN"/>
        </w:rPr>
        <w:t>进行评审并上报1200项</w:t>
      </w:r>
      <w:r>
        <w:rPr>
          <w:rFonts w:hint="default" w:ascii="Times New Roman" w:hAnsi="Times New Roman" w:eastAsia="仿宋_GB2312" w:cs="Times New Roman"/>
          <w:color w:val="auto"/>
          <w:kern w:val="0"/>
          <w:sz w:val="32"/>
          <w:szCs w:val="32"/>
          <w:shd w:val="clear" w:color="auto" w:fill="FFFFFF"/>
          <w:lang w:val="zh-CN" w:eastAsia="zh-CN"/>
        </w:rPr>
        <w:t>。202</w:t>
      </w:r>
      <w:r>
        <w:rPr>
          <w:rFonts w:hint="default" w:ascii="Times New Roman" w:hAnsi="Times New Roman" w:eastAsia="仿宋_GB2312" w:cs="Times New Roman"/>
          <w:color w:val="auto"/>
          <w:kern w:val="0"/>
          <w:sz w:val="32"/>
          <w:szCs w:val="32"/>
          <w:shd w:val="clear" w:color="auto" w:fill="FFFFFF"/>
          <w:lang w:val="en-US" w:eastAsia="zh-CN"/>
        </w:rPr>
        <w:t>1</w:t>
      </w:r>
      <w:r>
        <w:rPr>
          <w:rFonts w:hint="default" w:ascii="Times New Roman" w:hAnsi="Times New Roman" w:eastAsia="仿宋_GB2312" w:cs="Times New Roman"/>
          <w:color w:val="auto"/>
          <w:kern w:val="0"/>
          <w:sz w:val="32"/>
          <w:szCs w:val="32"/>
          <w:shd w:val="clear" w:color="auto" w:fill="FFFFFF"/>
          <w:lang w:val="zh-CN" w:eastAsia="zh-CN"/>
        </w:rPr>
        <w:t>年，完成省社科规划重大项目</w:t>
      </w:r>
      <w:r>
        <w:rPr>
          <w:rFonts w:hint="default" w:ascii="Times New Roman" w:hAnsi="Times New Roman" w:eastAsia="仿宋_GB2312" w:cs="Times New Roman"/>
          <w:color w:val="auto"/>
          <w:kern w:val="0"/>
          <w:sz w:val="32"/>
          <w:szCs w:val="32"/>
          <w:shd w:val="clear" w:color="auto" w:fill="FFFFFF"/>
          <w:lang w:val="en-US" w:eastAsia="zh-CN"/>
        </w:rPr>
        <w:t>20</w:t>
      </w:r>
      <w:r>
        <w:rPr>
          <w:rFonts w:hint="default" w:ascii="Times New Roman" w:hAnsi="Times New Roman" w:eastAsia="仿宋_GB2312" w:cs="Times New Roman"/>
          <w:color w:val="auto"/>
          <w:kern w:val="0"/>
          <w:sz w:val="32"/>
          <w:szCs w:val="32"/>
          <w:shd w:val="clear" w:color="auto" w:fill="FFFFFF"/>
          <w:lang w:val="zh-CN" w:eastAsia="zh-CN"/>
        </w:rPr>
        <w:t>项，重点项目、一般项目、青年项目</w:t>
      </w:r>
      <w:r>
        <w:rPr>
          <w:rFonts w:hint="default" w:ascii="Times New Roman" w:hAnsi="Times New Roman" w:eastAsia="仿宋_GB2312" w:cs="Times New Roman"/>
          <w:color w:val="auto"/>
          <w:kern w:val="0"/>
          <w:sz w:val="32"/>
          <w:szCs w:val="32"/>
          <w:shd w:val="clear" w:color="auto" w:fill="FFFFFF"/>
          <w:lang w:val="en-US" w:eastAsia="zh-CN"/>
        </w:rPr>
        <w:t>300项，专项项目61项的</w:t>
      </w:r>
      <w:r>
        <w:rPr>
          <w:rFonts w:hint="default" w:ascii="Times New Roman" w:hAnsi="Times New Roman" w:eastAsia="仿宋_GB2312" w:cs="Times New Roman"/>
          <w:color w:val="auto"/>
          <w:kern w:val="0"/>
          <w:sz w:val="32"/>
          <w:szCs w:val="32"/>
          <w:shd w:val="clear" w:color="auto" w:fill="FFFFFF"/>
          <w:lang w:val="zh-CN" w:eastAsia="zh-CN"/>
        </w:rPr>
        <w:t>评审立项，对申报国家社科基金项目</w:t>
      </w:r>
      <w:r>
        <w:rPr>
          <w:rFonts w:hint="default" w:ascii="Times New Roman" w:hAnsi="Times New Roman" w:eastAsia="仿宋_GB2312" w:cs="Times New Roman"/>
          <w:color w:val="auto"/>
          <w:kern w:val="0"/>
          <w:sz w:val="32"/>
          <w:szCs w:val="32"/>
          <w:shd w:val="clear" w:color="auto" w:fill="FFFFFF"/>
          <w:lang w:val="en-US" w:eastAsia="zh-CN"/>
        </w:rPr>
        <w:t>进行评审并上报1279项</w:t>
      </w:r>
      <w:r>
        <w:rPr>
          <w:rFonts w:hint="default" w:ascii="Times New Roman" w:hAnsi="Times New Roman" w:eastAsia="仿宋_GB2312" w:cs="Times New Roman"/>
          <w:color w:val="auto"/>
          <w:kern w:val="0"/>
          <w:sz w:val="32"/>
          <w:szCs w:val="32"/>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zh-CN" w:eastAsia="zh-CN"/>
        </w:rPr>
      </w:pPr>
      <w:r>
        <w:rPr>
          <w:rFonts w:hint="default" w:ascii="Times New Roman" w:hAnsi="Times New Roman" w:eastAsia="仿宋_GB2312" w:cs="Times New Roman"/>
          <w:color w:val="auto"/>
          <w:kern w:val="0"/>
          <w:sz w:val="32"/>
          <w:szCs w:val="32"/>
          <w:shd w:val="clear" w:color="auto" w:fill="FFFFFF"/>
          <w:lang w:val="en-US" w:eastAsia="zh-CN"/>
        </w:rPr>
        <w:t>（2）</w:t>
      </w:r>
      <w:r>
        <w:rPr>
          <w:rFonts w:hint="default" w:ascii="Times New Roman" w:hAnsi="Times New Roman" w:eastAsia="仿宋_GB2312" w:cs="Times New Roman"/>
          <w:color w:val="auto"/>
          <w:kern w:val="0"/>
          <w:sz w:val="32"/>
          <w:szCs w:val="32"/>
          <w:shd w:val="clear" w:color="auto" w:fill="FFFFFF"/>
          <w:lang w:val="zh-CN" w:eastAsia="zh-CN"/>
        </w:rPr>
        <w:t>社科优秀成果奖评奖项目</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val="zh-CN" w:eastAsia="zh-CN"/>
        </w:rPr>
        <w:t>社科优秀成果奖项目绩效目标计划全年完成省社科优秀成果奖评奖工作，省政府表彰奖励的获奖项目</w:t>
      </w:r>
      <w:r>
        <w:rPr>
          <w:rFonts w:hint="default" w:ascii="Times New Roman" w:hAnsi="Times New Roman" w:eastAsia="仿宋_GB2312" w:cs="Times New Roman"/>
          <w:color w:val="auto"/>
          <w:kern w:val="0"/>
          <w:sz w:val="32"/>
          <w:szCs w:val="32"/>
          <w:shd w:val="clear" w:color="auto" w:fill="FFFFFF"/>
          <w:lang w:val="en-US" w:eastAsia="zh-CN"/>
        </w:rPr>
        <w:t>400项，近两年省社科规划项目完成成果400项。</w:t>
      </w:r>
      <w:r>
        <w:rPr>
          <w:rFonts w:hint="default" w:ascii="Times New Roman" w:hAnsi="Times New Roman" w:eastAsia="仿宋_GB2312" w:cs="Times New Roman"/>
          <w:color w:val="auto"/>
          <w:kern w:val="0"/>
          <w:sz w:val="32"/>
          <w:szCs w:val="32"/>
          <w:shd w:val="clear" w:color="auto" w:fill="FFFFFF"/>
          <w:lang w:val="zh-CN" w:eastAsia="zh-CN"/>
        </w:rPr>
        <w:t>202</w:t>
      </w:r>
      <w:r>
        <w:rPr>
          <w:rFonts w:hint="default" w:ascii="Times New Roman" w:hAnsi="Times New Roman" w:eastAsia="仿宋_GB2312" w:cs="Times New Roman"/>
          <w:color w:val="auto"/>
          <w:kern w:val="0"/>
          <w:sz w:val="32"/>
          <w:szCs w:val="32"/>
          <w:shd w:val="clear" w:color="auto" w:fill="FFFFFF"/>
          <w:lang w:val="en-US" w:eastAsia="zh-CN"/>
        </w:rPr>
        <w:t>1</w:t>
      </w:r>
      <w:r>
        <w:rPr>
          <w:rFonts w:hint="default" w:ascii="Times New Roman" w:hAnsi="Times New Roman" w:eastAsia="仿宋_GB2312" w:cs="Times New Roman"/>
          <w:color w:val="auto"/>
          <w:kern w:val="0"/>
          <w:sz w:val="32"/>
          <w:szCs w:val="32"/>
          <w:shd w:val="clear" w:color="auto" w:fill="FFFFFF"/>
          <w:lang w:val="zh-CN" w:eastAsia="zh-CN"/>
        </w:rPr>
        <w:t>年，完成了省社科优秀成果奖评奖工作，获奖项目</w:t>
      </w:r>
      <w:r>
        <w:rPr>
          <w:rFonts w:hint="default" w:ascii="Times New Roman" w:hAnsi="Times New Roman" w:eastAsia="仿宋_GB2312" w:cs="Times New Roman"/>
          <w:color w:val="auto"/>
          <w:kern w:val="0"/>
          <w:sz w:val="32"/>
          <w:szCs w:val="32"/>
          <w:shd w:val="clear" w:color="auto" w:fill="FFFFFF"/>
          <w:lang w:val="en-US" w:eastAsia="zh-CN"/>
        </w:rPr>
        <w:t>400项，近两年省社科规划项目完成成果400项。</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val="en-US" w:eastAsia="zh-CN"/>
        </w:rPr>
        <w:t>（3）</w:t>
      </w:r>
      <w:r>
        <w:rPr>
          <w:rFonts w:hint="default" w:ascii="Times New Roman" w:hAnsi="Times New Roman" w:eastAsia="仿宋_GB2312" w:cs="Times New Roman"/>
          <w:color w:val="auto"/>
          <w:kern w:val="0"/>
          <w:sz w:val="32"/>
          <w:szCs w:val="32"/>
          <w:shd w:val="clear" w:color="auto" w:fill="FFFFFF"/>
          <w:lang w:val="zh-CN" w:eastAsia="zh-CN"/>
        </w:rPr>
        <w:t>社科基地、资源数据库建设项目</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zh-CN" w:eastAsia="zh-CN"/>
        </w:rPr>
      </w:pPr>
      <w:r>
        <w:rPr>
          <w:rFonts w:hint="default" w:ascii="Times New Roman" w:hAnsi="Times New Roman" w:eastAsia="仿宋_GB2312" w:cs="Times New Roman"/>
          <w:color w:val="auto"/>
          <w:kern w:val="0"/>
          <w:sz w:val="32"/>
          <w:szCs w:val="32"/>
          <w:shd w:val="clear" w:color="auto" w:fill="FFFFFF"/>
          <w:lang w:val="zh-CN" w:eastAsia="zh-CN"/>
        </w:rPr>
        <w:t>项目绩效目标计划全年完成</w:t>
      </w:r>
      <w:r>
        <w:rPr>
          <w:rFonts w:hint="default" w:ascii="Times New Roman" w:hAnsi="Times New Roman" w:eastAsia="仿宋_GB2312" w:cs="Times New Roman"/>
          <w:color w:val="auto"/>
          <w:kern w:val="0"/>
          <w:sz w:val="32"/>
          <w:szCs w:val="32"/>
          <w:shd w:val="clear" w:color="auto" w:fill="FFFFFF"/>
          <w:lang w:val="en-US" w:eastAsia="zh-CN"/>
        </w:rPr>
        <w:t>7</w:t>
      </w:r>
      <w:r>
        <w:rPr>
          <w:rFonts w:hint="default" w:ascii="Times New Roman" w:hAnsi="Times New Roman" w:eastAsia="仿宋_GB2312" w:cs="Times New Roman"/>
          <w:color w:val="auto"/>
          <w:kern w:val="0"/>
          <w:sz w:val="32"/>
          <w:szCs w:val="32"/>
          <w:shd w:val="clear" w:color="auto" w:fill="FFFFFF"/>
          <w:lang w:val="zh-CN" w:eastAsia="zh-CN"/>
        </w:rPr>
        <w:t>5项省级社科重点基地项目评审立项工作。202</w:t>
      </w:r>
      <w:r>
        <w:rPr>
          <w:rFonts w:hint="default" w:ascii="Times New Roman" w:hAnsi="Times New Roman" w:eastAsia="仿宋_GB2312" w:cs="Times New Roman"/>
          <w:color w:val="auto"/>
          <w:kern w:val="0"/>
          <w:sz w:val="32"/>
          <w:szCs w:val="32"/>
          <w:shd w:val="clear" w:color="auto" w:fill="FFFFFF"/>
          <w:lang w:val="en-US" w:eastAsia="zh-CN"/>
        </w:rPr>
        <w:t>1</w:t>
      </w:r>
      <w:r>
        <w:rPr>
          <w:rFonts w:hint="default" w:ascii="Times New Roman" w:hAnsi="Times New Roman" w:eastAsia="仿宋_GB2312" w:cs="Times New Roman"/>
          <w:color w:val="auto"/>
          <w:kern w:val="0"/>
          <w:sz w:val="32"/>
          <w:szCs w:val="32"/>
          <w:shd w:val="clear" w:color="auto" w:fill="FFFFFF"/>
          <w:lang w:val="zh-CN" w:eastAsia="zh-CN"/>
        </w:rPr>
        <w:t>年，完成了省级社科重点研究基地项目的申报、评审、立项工作，共立项6</w:t>
      </w:r>
      <w:r>
        <w:rPr>
          <w:rFonts w:hint="default" w:ascii="Times New Roman" w:hAnsi="Times New Roman" w:eastAsia="仿宋_GB2312" w:cs="Times New Roman"/>
          <w:color w:val="auto"/>
          <w:kern w:val="0"/>
          <w:sz w:val="32"/>
          <w:szCs w:val="32"/>
          <w:shd w:val="clear" w:color="auto" w:fill="FFFFFF"/>
          <w:lang w:val="en-US" w:eastAsia="zh-CN"/>
        </w:rPr>
        <w:t>0</w:t>
      </w:r>
      <w:r>
        <w:rPr>
          <w:rFonts w:hint="default" w:ascii="Times New Roman" w:hAnsi="Times New Roman" w:eastAsia="仿宋_GB2312" w:cs="Times New Roman"/>
          <w:color w:val="auto"/>
          <w:kern w:val="0"/>
          <w:sz w:val="32"/>
          <w:szCs w:val="32"/>
          <w:shd w:val="clear" w:color="auto" w:fill="FFFFFF"/>
          <w:lang w:val="zh-CN" w:eastAsia="zh-CN"/>
        </w:rPr>
        <w:t>项。组织、指导和参与省级社科普及基地开展较大规模</w:t>
      </w:r>
      <w:r>
        <w:rPr>
          <w:rFonts w:hint="eastAsia" w:eastAsia="仿宋_GB2312" w:cs="Times New Roman"/>
          <w:color w:val="auto"/>
          <w:kern w:val="0"/>
          <w:sz w:val="32"/>
          <w:szCs w:val="32"/>
          <w:shd w:val="clear" w:color="auto" w:fill="FFFFFF"/>
          <w:lang w:val="zh-CN" w:eastAsia="zh-CN"/>
        </w:rPr>
        <w:t>、</w:t>
      </w:r>
      <w:r>
        <w:rPr>
          <w:rFonts w:hint="default" w:ascii="Times New Roman" w:hAnsi="Times New Roman" w:eastAsia="仿宋_GB2312" w:cs="Times New Roman"/>
          <w:color w:val="auto"/>
          <w:kern w:val="0"/>
          <w:sz w:val="32"/>
          <w:szCs w:val="32"/>
          <w:shd w:val="clear" w:color="auto" w:fill="FFFFFF"/>
          <w:lang w:val="zh-CN" w:eastAsia="zh-CN"/>
        </w:rPr>
        <w:t>有影响力的社科普及宣传活动</w:t>
      </w:r>
      <w:r>
        <w:rPr>
          <w:rFonts w:hint="default" w:ascii="Times New Roman" w:hAnsi="Times New Roman" w:eastAsia="仿宋_GB2312" w:cs="Times New Roman"/>
          <w:color w:val="auto"/>
          <w:kern w:val="0"/>
          <w:sz w:val="32"/>
          <w:szCs w:val="32"/>
          <w:shd w:val="clear" w:color="auto" w:fill="FFFFFF"/>
          <w:lang w:val="en-US" w:eastAsia="zh-CN"/>
        </w:rPr>
        <w:t>300多</w:t>
      </w:r>
      <w:r>
        <w:rPr>
          <w:rFonts w:hint="default" w:ascii="Times New Roman" w:hAnsi="Times New Roman" w:eastAsia="仿宋_GB2312" w:cs="Times New Roman"/>
          <w:color w:val="auto"/>
          <w:kern w:val="0"/>
          <w:sz w:val="32"/>
          <w:szCs w:val="32"/>
          <w:shd w:val="clear" w:color="auto" w:fill="FFFFFF"/>
          <w:lang w:val="zh-CN" w:eastAsia="zh-CN"/>
        </w:rPr>
        <w:t>场（次），社科普及活动覆盖全省21个市（州），其中的一些精品讲座深入浅出、图文并茂，深受群众喜爱。据统计，全年各省级普及基地共发放社科普及宣传资料、科普书籍</w:t>
      </w:r>
      <w:r>
        <w:rPr>
          <w:rFonts w:hint="default" w:ascii="Times New Roman" w:hAnsi="Times New Roman" w:eastAsia="仿宋_GB2312" w:cs="Times New Roman"/>
          <w:color w:val="auto"/>
          <w:kern w:val="0"/>
          <w:sz w:val="32"/>
          <w:szCs w:val="32"/>
          <w:shd w:val="clear" w:color="auto" w:fill="FFFFFF"/>
          <w:lang w:val="en-US" w:eastAsia="zh-CN"/>
        </w:rPr>
        <w:t>5</w:t>
      </w:r>
      <w:r>
        <w:rPr>
          <w:rFonts w:hint="default" w:ascii="Times New Roman" w:hAnsi="Times New Roman" w:eastAsia="仿宋_GB2312" w:cs="Times New Roman"/>
          <w:color w:val="auto"/>
          <w:kern w:val="0"/>
          <w:sz w:val="32"/>
          <w:szCs w:val="32"/>
          <w:shd w:val="clear" w:color="auto" w:fill="FFFFFF"/>
          <w:lang w:val="zh-CN" w:eastAsia="zh-CN"/>
        </w:rPr>
        <w:t>万余册，直接受众近</w:t>
      </w:r>
      <w:r>
        <w:rPr>
          <w:rFonts w:hint="default" w:ascii="Times New Roman" w:hAnsi="Times New Roman" w:eastAsia="仿宋_GB2312" w:cs="Times New Roman"/>
          <w:color w:val="auto"/>
          <w:kern w:val="0"/>
          <w:sz w:val="32"/>
          <w:szCs w:val="32"/>
          <w:shd w:val="clear" w:color="auto" w:fill="FFFFFF"/>
          <w:lang w:val="en-US" w:eastAsia="zh-CN"/>
        </w:rPr>
        <w:t>5</w:t>
      </w:r>
      <w:r>
        <w:rPr>
          <w:rFonts w:hint="default" w:ascii="Times New Roman" w:hAnsi="Times New Roman" w:eastAsia="仿宋_GB2312" w:cs="Times New Roman"/>
          <w:color w:val="auto"/>
          <w:kern w:val="0"/>
          <w:sz w:val="32"/>
          <w:szCs w:val="32"/>
          <w:shd w:val="clear" w:color="auto" w:fill="FFFFFF"/>
          <w:lang w:val="zh-CN" w:eastAsia="zh-CN"/>
        </w:rPr>
        <w:t>万人（次）。与成都“金沙讲坛”人文社科普及基地联办了</w:t>
      </w:r>
      <w:r>
        <w:rPr>
          <w:rFonts w:hint="default" w:ascii="Times New Roman" w:hAnsi="Times New Roman" w:eastAsia="仿宋_GB2312" w:cs="Times New Roman"/>
          <w:color w:val="auto"/>
          <w:kern w:val="0"/>
          <w:sz w:val="32"/>
          <w:szCs w:val="32"/>
          <w:shd w:val="clear" w:color="auto" w:fill="FFFFFF"/>
          <w:lang w:val="en-US" w:eastAsia="zh-CN"/>
        </w:rPr>
        <w:t>党史红色文化系列讲座、天府文化专题讲座10场；与</w:t>
      </w:r>
      <w:r>
        <w:rPr>
          <w:rFonts w:hint="default" w:ascii="Times New Roman" w:hAnsi="Times New Roman" w:eastAsia="仿宋_GB2312" w:cs="Times New Roman"/>
          <w:color w:val="auto"/>
          <w:kern w:val="0"/>
          <w:sz w:val="32"/>
          <w:szCs w:val="32"/>
          <w:shd w:val="clear" w:color="auto" w:fill="FFFFFF"/>
          <w:lang w:val="zh-CN" w:eastAsia="zh-CN"/>
        </w:rPr>
        <w:t>泸州“酒城讲坛”社科普及基地联办党</w:t>
      </w:r>
      <w:r>
        <w:rPr>
          <w:rFonts w:hint="default" w:ascii="Times New Roman" w:hAnsi="Times New Roman" w:eastAsia="仿宋_GB2312" w:cs="Times New Roman"/>
          <w:color w:val="auto"/>
          <w:kern w:val="0"/>
          <w:sz w:val="32"/>
          <w:szCs w:val="32"/>
          <w:shd w:val="clear" w:color="auto" w:fill="FFFFFF"/>
          <w:lang w:val="en-US" w:eastAsia="zh-CN"/>
        </w:rPr>
        <w:t>史党建专场讲座2场；</w:t>
      </w:r>
      <w:r>
        <w:rPr>
          <w:rFonts w:hint="default" w:ascii="Times New Roman" w:hAnsi="Times New Roman" w:eastAsia="仿宋_GB2312" w:cs="Times New Roman"/>
          <w:color w:val="auto"/>
          <w:kern w:val="0"/>
          <w:sz w:val="32"/>
          <w:szCs w:val="32"/>
          <w:shd w:val="clear" w:color="auto" w:fill="FFFFFF"/>
          <w:lang w:val="zh-CN" w:eastAsia="zh-CN"/>
        </w:rPr>
        <w:t>与少数民族双语教育普及基地（依托单位</w:t>
      </w:r>
      <w:r>
        <w:rPr>
          <w:rFonts w:hint="default" w:ascii="Times New Roman" w:hAnsi="Times New Roman" w:eastAsia="仿宋_GB2312" w:cs="Times New Roman"/>
          <w:color w:val="auto"/>
          <w:kern w:val="0"/>
          <w:sz w:val="32"/>
          <w:szCs w:val="32"/>
          <w:shd w:val="clear" w:color="auto" w:fill="FFFFFF"/>
          <w:lang w:val="en" w:eastAsia="zh-CN"/>
        </w:rPr>
        <w:t>:</w:t>
      </w:r>
      <w:r>
        <w:rPr>
          <w:rFonts w:hint="default" w:ascii="Times New Roman" w:hAnsi="Times New Roman" w:eastAsia="仿宋_GB2312" w:cs="Times New Roman"/>
          <w:color w:val="auto"/>
          <w:kern w:val="0"/>
          <w:sz w:val="32"/>
          <w:szCs w:val="32"/>
          <w:shd w:val="clear" w:color="auto" w:fill="FFFFFF"/>
          <w:lang w:val="zh-CN" w:eastAsia="zh-CN"/>
        </w:rPr>
        <w:t>西南民族大学社科处）、凉山州社科联、阿坝州社科联联合开展了“乡村振兴、脱贫攻坚”科普双语宣传、赠送科普书籍宣传资料进彝区、进藏区系列活动。</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zh-CN" w:eastAsia="zh-CN"/>
        </w:rPr>
      </w:pPr>
      <w:r>
        <w:rPr>
          <w:rFonts w:hint="default" w:ascii="Times New Roman" w:hAnsi="Times New Roman" w:eastAsia="仿宋_GB2312" w:cs="Times New Roman"/>
          <w:color w:val="auto"/>
          <w:kern w:val="0"/>
          <w:sz w:val="32"/>
          <w:szCs w:val="32"/>
          <w:shd w:val="clear" w:color="auto" w:fill="FFFFFF"/>
          <w:lang w:val="en-US" w:eastAsia="zh-CN"/>
        </w:rPr>
        <w:t>（4）</w:t>
      </w:r>
      <w:r>
        <w:rPr>
          <w:rFonts w:hint="default" w:ascii="Times New Roman" w:hAnsi="Times New Roman" w:eastAsia="仿宋_GB2312" w:cs="Times New Roman"/>
          <w:color w:val="auto"/>
          <w:kern w:val="0"/>
          <w:sz w:val="32"/>
          <w:szCs w:val="32"/>
          <w:shd w:val="clear" w:color="auto" w:fill="FFFFFF"/>
          <w:lang w:val="zh-CN" w:eastAsia="zh-CN"/>
        </w:rPr>
        <w:t>省社科馆运行维护经费项目</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zh-CN" w:eastAsia="zh-CN"/>
        </w:rPr>
      </w:pPr>
      <w:r>
        <w:rPr>
          <w:rFonts w:hint="default" w:ascii="Times New Roman" w:hAnsi="Times New Roman" w:eastAsia="仿宋_GB2312" w:cs="Times New Roman"/>
          <w:color w:val="auto"/>
          <w:kern w:val="0"/>
          <w:sz w:val="32"/>
          <w:szCs w:val="32"/>
          <w:shd w:val="clear" w:color="auto" w:fill="FFFFFF"/>
          <w:lang w:val="zh-CN" w:eastAsia="zh-CN"/>
        </w:rPr>
        <w:t>四川社会科学馆是省级重点公共文化服务基础设施，总建筑面积28750平米，其中地上建筑面积22418平方米，地下建筑面积6332平方米，建设内容主要包括展示厅、成果鉴定中心、研究中心、集藏库、多功能厅、学术交流中心、业务用房、地下停车场、附属设施等。项目总投资19040万元，资金来源全部由省财政文化建设专项资金解决。项目由省代建中心组织建设工作。由于并联验收尚未完成，按照代建办法，社科馆先进行了建筑实体移交，部分功能已投入使用，因此社科馆运行维护经费未能全部使用完毕，</w:t>
      </w:r>
      <w:r>
        <w:rPr>
          <w:rFonts w:hint="eastAsia" w:eastAsia="仿宋_GB2312" w:cs="Times New Roman"/>
          <w:color w:val="auto"/>
          <w:kern w:val="0"/>
          <w:sz w:val="32"/>
          <w:szCs w:val="32"/>
          <w:shd w:val="clear" w:color="auto" w:fill="FFFFFF"/>
          <w:lang w:val="en-US" w:eastAsia="zh-CN"/>
        </w:rPr>
        <w:t>使用经费</w:t>
      </w:r>
      <w:r>
        <w:rPr>
          <w:rFonts w:hint="default" w:ascii="Times New Roman" w:hAnsi="Times New Roman" w:eastAsia="仿宋_GB2312" w:cs="Times New Roman"/>
          <w:color w:val="auto"/>
          <w:kern w:val="0"/>
          <w:sz w:val="32"/>
          <w:szCs w:val="32"/>
          <w:shd w:val="clear" w:color="auto" w:fill="FFFFFF"/>
          <w:lang w:val="zh-CN" w:eastAsia="zh-CN"/>
        </w:rPr>
        <w:t>主要是物业管理费、电费、网络建设费、设备维保费、自来水费等。</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val="en-US" w:eastAsia="zh-CN"/>
        </w:rPr>
        <w:t>（5）</w:t>
      </w:r>
      <w:r>
        <w:rPr>
          <w:rFonts w:hint="default" w:ascii="Times New Roman" w:hAnsi="Times New Roman" w:eastAsia="仿宋_GB2312" w:cs="Times New Roman"/>
          <w:color w:val="auto"/>
          <w:kern w:val="0"/>
          <w:sz w:val="32"/>
          <w:szCs w:val="32"/>
          <w:shd w:val="clear" w:color="auto" w:fill="FFFFFF"/>
          <w:lang w:val="zh-CN" w:eastAsia="zh-CN"/>
        </w:rPr>
        <w:t>继续实施项目</w:t>
      </w:r>
      <w:r>
        <w:rPr>
          <w:rFonts w:hint="eastAsia" w:eastAsia="仿宋_GB2312" w:cs="Times New Roman"/>
          <w:color w:val="auto"/>
          <w:kern w:val="0"/>
          <w:sz w:val="32"/>
          <w:szCs w:val="32"/>
          <w:shd w:val="clear" w:color="auto" w:fill="FFFFFF"/>
          <w:lang w:val="zh-CN" w:eastAsia="zh-CN"/>
        </w:rPr>
        <w:t>—</w:t>
      </w:r>
      <w:r>
        <w:rPr>
          <w:rFonts w:hint="default" w:ascii="Times New Roman" w:hAnsi="Times New Roman" w:eastAsia="仿宋_GB2312" w:cs="Times New Roman"/>
          <w:color w:val="auto"/>
          <w:kern w:val="0"/>
          <w:sz w:val="32"/>
          <w:szCs w:val="32"/>
          <w:shd w:val="clear" w:color="auto" w:fill="FFFFFF"/>
          <w:lang w:val="zh-CN" w:eastAsia="zh-CN"/>
        </w:rPr>
        <w:t>四川社会科学馆项目建设资金</w:t>
      </w:r>
      <w:r>
        <w:rPr>
          <w:rFonts w:hint="default" w:ascii="Times New Roman" w:hAnsi="Times New Roman" w:eastAsia="仿宋_GB2312" w:cs="Times New Roman"/>
          <w:color w:val="auto"/>
          <w:kern w:val="0"/>
          <w:sz w:val="32"/>
          <w:szCs w:val="32"/>
          <w:shd w:val="clear" w:color="auto" w:fill="FFFFFF"/>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zh-CN" w:eastAsia="zh-CN"/>
        </w:rPr>
      </w:pPr>
      <w:r>
        <w:rPr>
          <w:rFonts w:hint="default" w:ascii="Times New Roman" w:hAnsi="Times New Roman" w:eastAsia="仿宋_GB2312" w:cs="Times New Roman"/>
          <w:color w:val="auto"/>
          <w:kern w:val="0"/>
          <w:sz w:val="32"/>
          <w:szCs w:val="32"/>
          <w:shd w:val="clear" w:color="auto" w:fill="FFFFFF"/>
          <w:lang w:val="zh-CN" w:eastAsia="zh-CN"/>
        </w:rPr>
        <w:t>四川社会科学馆是省级重点公共文化服务基础设施，总建筑面积28750平米，其中地上建筑面积22418平方米，地下建筑面积6332平方米，建设内容主要包括展示厅、成果鉴定中心、研究中心、集藏库、多功能厅、学术交流中心、业务用房、地下停车场、附属设施等。项目总投资19040万元，资金来源全部由省财政文化建设专项资金解决。四川社科馆家具和窗帘于2019年11月招标产生，家具中标金额6580105元，窗帘中标金额738984元。</w:t>
      </w:r>
    </w:p>
    <w:p>
      <w:pPr>
        <w:keepNext w:val="0"/>
        <w:keepLines w:val="0"/>
        <w:pageBreakBefore w:val="0"/>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kern w:val="0"/>
          <w:sz w:val="32"/>
          <w:szCs w:val="32"/>
          <w:shd w:val="clear" w:color="auto" w:fill="FFFFFF"/>
          <w:lang w:val="en-US" w:eastAsia="zh-CN"/>
        </w:rPr>
        <w:t>3</w:t>
      </w:r>
      <w:r>
        <w:rPr>
          <w:rFonts w:hint="default" w:ascii="Times New Roman" w:hAnsi="Times New Roman" w:eastAsia="仿宋_GB2312" w:cs="Times New Roman"/>
          <w:color w:val="auto"/>
          <w:kern w:val="0"/>
          <w:sz w:val="32"/>
          <w:szCs w:val="32"/>
          <w:shd w:val="clear" w:color="auto" w:fill="FFFFFF"/>
          <w:lang w:val="zh-CN" w:eastAsia="zh-CN"/>
        </w:rPr>
        <w:t>.预算完成及执行进度方面。预算实际执行情况如下：6月底执行数1918.09万元，执行进度4</w:t>
      </w:r>
      <w:r>
        <w:rPr>
          <w:rFonts w:hint="default" w:ascii="Times New Roman" w:hAnsi="Times New Roman" w:eastAsia="仿宋_GB2312" w:cs="Times New Roman"/>
          <w:color w:val="auto"/>
          <w:kern w:val="0"/>
          <w:sz w:val="32"/>
          <w:szCs w:val="32"/>
          <w:shd w:val="clear" w:color="auto" w:fill="FFFFFF"/>
          <w:lang w:val="en-US" w:eastAsia="zh-CN"/>
        </w:rPr>
        <w:t>3</w:t>
      </w:r>
      <w:r>
        <w:rPr>
          <w:rFonts w:hint="default" w:ascii="Times New Roman" w:hAnsi="Times New Roman" w:eastAsia="仿宋_GB2312" w:cs="Times New Roman"/>
          <w:color w:val="auto"/>
          <w:kern w:val="0"/>
          <w:sz w:val="32"/>
          <w:szCs w:val="32"/>
          <w:shd w:val="clear" w:color="auto" w:fill="FFFFFF"/>
          <w:lang w:val="zh-CN" w:eastAsia="zh-CN"/>
        </w:rPr>
        <w:t>.</w:t>
      </w:r>
      <w:r>
        <w:rPr>
          <w:rFonts w:hint="default" w:ascii="Times New Roman" w:hAnsi="Times New Roman" w:eastAsia="仿宋_GB2312" w:cs="Times New Roman"/>
          <w:color w:val="auto"/>
          <w:kern w:val="0"/>
          <w:sz w:val="32"/>
          <w:szCs w:val="32"/>
          <w:shd w:val="clear" w:color="auto" w:fill="FFFFFF"/>
          <w:lang w:val="en-US" w:eastAsia="zh-CN"/>
        </w:rPr>
        <w:t>1</w:t>
      </w:r>
      <w:r>
        <w:rPr>
          <w:rFonts w:hint="default" w:ascii="Times New Roman" w:hAnsi="Times New Roman" w:eastAsia="仿宋_GB2312" w:cs="Times New Roman"/>
          <w:color w:val="auto"/>
          <w:kern w:val="0"/>
          <w:sz w:val="32"/>
          <w:szCs w:val="32"/>
          <w:shd w:val="clear" w:color="auto" w:fill="FFFFFF"/>
          <w:lang w:val="zh-CN" w:eastAsia="zh-CN"/>
        </w:rPr>
        <w:t>%；9月底执行数2729.95万元，执行进度</w:t>
      </w:r>
      <w:r>
        <w:rPr>
          <w:rFonts w:hint="default" w:ascii="Times New Roman" w:hAnsi="Times New Roman" w:eastAsia="仿宋_GB2312" w:cs="Times New Roman"/>
          <w:color w:val="auto"/>
          <w:kern w:val="0"/>
          <w:sz w:val="32"/>
          <w:szCs w:val="32"/>
          <w:shd w:val="clear" w:color="auto" w:fill="FFFFFF"/>
          <w:lang w:val="en-US" w:eastAsia="zh-CN"/>
        </w:rPr>
        <w:t>56</w:t>
      </w:r>
      <w:r>
        <w:rPr>
          <w:rFonts w:hint="default" w:ascii="Times New Roman" w:hAnsi="Times New Roman" w:eastAsia="仿宋_GB2312" w:cs="Times New Roman"/>
          <w:color w:val="auto"/>
          <w:kern w:val="0"/>
          <w:sz w:val="32"/>
          <w:szCs w:val="32"/>
          <w:shd w:val="clear" w:color="auto" w:fill="FFFFFF"/>
          <w:lang w:val="zh-CN" w:eastAsia="zh-CN"/>
        </w:rPr>
        <w:t>.</w:t>
      </w:r>
      <w:r>
        <w:rPr>
          <w:rFonts w:hint="default" w:ascii="Times New Roman" w:hAnsi="Times New Roman" w:eastAsia="仿宋_GB2312" w:cs="Times New Roman"/>
          <w:color w:val="auto"/>
          <w:kern w:val="0"/>
          <w:sz w:val="32"/>
          <w:szCs w:val="32"/>
          <w:shd w:val="clear" w:color="auto" w:fill="FFFFFF"/>
          <w:lang w:val="en-US" w:eastAsia="zh-CN"/>
        </w:rPr>
        <w:t>6</w:t>
      </w:r>
      <w:r>
        <w:rPr>
          <w:rFonts w:hint="default" w:ascii="Times New Roman" w:hAnsi="Times New Roman" w:eastAsia="仿宋_GB2312" w:cs="Times New Roman"/>
          <w:color w:val="auto"/>
          <w:kern w:val="0"/>
          <w:sz w:val="32"/>
          <w:szCs w:val="32"/>
          <w:shd w:val="clear" w:color="auto" w:fill="FFFFFF"/>
          <w:lang w:val="zh-CN" w:eastAsia="zh-CN"/>
        </w:rPr>
        <w:t>%；11月底执行数3702.81万元，执行进度</w:t>
      </w:r>
      <w:r>
        <w:rPr>
          <w:rFonts w:hint="default" w:ascii="Times New Roman" w:hAnsi="Times New Roman" w:eastAsia="仿宋_GB2312" w:cs="Times New Roman"/>
          <w:color w:val="auto"/>
          <w:kern w:val="0"/>
          <w:sz w:val="32"/>
          <w:szCs w:val="32"/>
          <w:shd w:val="clear" w:color="auto" w:fill="FFFFFF"/>
          <w:lang w:val="en-US" w:eastAsia="zh-CN"/>
        </w:rPr>
        <w:t>76.7</w:t>
      </w:r>
      <w:r>
        <w:rPr>
          <w:rFonts w:hint="default" w:ascii="Times New Roman" w:hAnsi="Times New Roman" w:eastAsia="仿宋_GB2312" w:cs="Times New Roman"/>
          <w:color w:val="auto"/>
          <w:kern w:val="0"/>
          <w:sz w:val="32"/>
          <w:szCs w:val="32"/>
          <w:shd w:val="clear" w:color="auto" w:fill="FFFFFF"/>
          <w:lang w:val="zh-CN" w:eastAsia="zh-CN"/>
        </w:rPr>
        <w:t>%；12月底执行数4600.31万元，执行进度</w:t>
      </w:r>
      <w:r>
        <w:rPr>
          <w:rFonts w:hint="default" w:ascii="Times New Roman" w:hAnsi="Times New Roman" w:eastAsia="仿宋_GB2312" w:cs="Times New Roman"/>
          <w:color w:val="auto"/>
          <w:kern w:val="0"/>
          <w:sz w:val="32"/>
          <w:szCs w:val="32"/>
          <w:shd w:val="clear" w:color="auto" w:fill="FFFFFF"/>
          <w:lang w:val="en-US" w:eastAsia="zh-CN"/>
        </w:rPr>
        <w:t>89.6</w:t>
      </w:r>
      <w:r>
        <w:rPr>
          <w:rFonts w:hint="default" w:ascii="Times New Roman" w:hAnsi="Times New Roman" w:eastAsia="仿宋_GB2312" w:cs="Times New Roman"/>
          <w:color w:val="auto"/>
          <w:kern w:val="0"/>
          <w:sz w:val="32"/>
          <w:szCs w:val="32"/>
          <w:shd w:val="clear" w:color="auto" w:fill="FFFFFF"/>
          <w:lang w:val="zh-CN" w:eastAsia="zh-CN"/>
        </w:rPr>
        <w:t>%。</w:t>
      </w:r>
      <w:r>
        <w:rPr>
          <w:rFonts w:hint="default" w:ascii="Times New Roman" w:hAnsi="Times New Roman" w:eastAsia="仿宋_GB2312" w:cs="Times New Roman"/>
          <w:color w:val="auto"/>
          <w:kern w:val="0"/>
          <w:sz w:val="32"/>
          <w:szCs w:val="32"/>
          <w:shd w:val="clear" w:color="auto" w:fill="FFFFFF"/>
          <w:lang w:val="en-US" w:eastAsia="zh-CN"/>
        </w:rPr>
        <w:t>2021</w:t>
      </w:r>
      <w:r>
        <w:rPr>
          <w:rFonts w:hint="default" w:ascii="Times New Roman" w:hAnsi="Times New Roman" w:eastAsia="仿宋_GB2312" w:cs="Times New Roman"/>
          <w:color w:val="auto"/>
          <w:kern w:val="0"/>
          <w:sz w:val="32"/>
          <w:szCs w:val="32"/>
          <w:shd w:val="clear" w:color="auto" w:fill="FFFFFF"/>
          <w:lang w:val="zh-CN" w:eastAsia="zh-CN"/>
        </w:rPr>
        <w:t>年度预算执行较差主要涉及“社科馆运维费”项目经费，影响了全年执行进度，原因在于：</w:t>
      </w:r>
      <w:r>
        <w:rPr>
          <w:rFonts w:hint="default" w:ascii="Times New Roman" w:hAnsi="Times New Roman" w:eastAsia="仿宋_GB2312" w:cs="Times New Roman"/>
          <w:color w:val="auto"/>
          <w:sz w:val="32"/>
          <w:szCs w:val="32"/>
          <w:lang w:val="zh-CN"/>
        </w:rPr>
        <w:t>四川社科馆建设项目为代建项目，整个项目建设进度由代建办在统筹和管理。四川社科馆为四川省“十二五”规划的全省三大重点文化工程之一，按照最初设计早就应该于2018年竣工并交付使用，我单位也多次对接、衔接代建办，但该工程一直进展十分缓慢</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但截至</w:t>
      </w:r>
      <w:r>
        <w:rPr>
          <w:rFonts w:hint="default" w:ascii="Times New Roman" w:hAnsi="Times New Roman" w:eastAsia="仿宋_GB2312" w:cs="Times New Roman"/>
          <w:color w:val="auto"/>
          <w:sz w:val="32"/>
          <w:szCs w:val="32"/>
          <w:lang w:val="en-US" w:eastAsia="zh-CN"/>
        </w:rPr>
        <w:t>12月31日</w:t>
      </w:r>
      <w:r>
        <w:rPr>
          <w:rFonts w:hint="default" w:ascii="Times New Roman" w:hAnsi="Times New Roman" w:eastAsia="仿宋_GB2312" w:cs="Times New Roman"/>
          <w:color w:val="auto"/>
          <w:sz w:val="32"/>
          <w:szCs w:val="32"/>
          <w:lang w:val="zh-CN"/>
        </w:rPr>
        <w:t>，仍未交付，影响了执行进度。</w:t>
      </w:r>
    </w:p>
    <w:p>
      <w:pPr>
        <w:keepNext w:val="0"/>
        <w:keepLines w:val="0"/>
        <w:pageBreakBefore w:val="0"/>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rPr>
        <w:t>.预算完成情况方面。部门预算编制完整、准确、规范。在项目经费的使用上，在保证各项任务顺利完成的同时，严</w:t>
      </w:r>
      <w:r>
        <w:rPr>
          <w:rFonts w:hint="default" w:ascii="Times New Roman" w:hAnsi="Times New Roman" w:eastAsia="仿宋_GB2312" w:cs="Times New Roman"/>
          <w:color w:val="auto"/>
          <w:kern w:val="0"/>
          <w:sz w:val="32"/>
          <w:szCs w:val="32"/>
          <w:shd w:val="clear" w:color="auto" w:fill="FFFFFF"/>
          <w:lang w:val="zh-CN"/>
        </w:rPr>
        <w:t>格落实厉行节约的原则</w:t>
      </w:r>
      <w:r>
        <w:rPr>
          <w:rFonts w:hint="eastAsia" w:eastAsia="仿宋_GB2312" w:cs="Times New Roman"/>
          <w:color w:val="auto"/>
          <w:kern w:val="0"/>
          <w:sz w:val="32"/>
          <w:szCs w:val="32"/>
          <w:shd w:val="clear" w:color="auto" w:fill="FFFFFF"/>
          <w:lang w:val="zh-CN"/>
        </w:rPr>
        <w:t>，</w:t>
      </w:r>
      <w:r>
        <w:rPr>
          <w:rFonts w:hint="default" w:ascii="Times New Roman" w:hAnsi="Times New Roman" w:eastAsia="仿宋_GB2312" w:cs="Times New Roman"/>
          <w:color w:val="auto"/>
          <w:kern w:val="0"/>
          <w:sz w:val="32"/>
          <w:szCs w:val="32"/>
          <w:shd w:val="clear" w:color="auto" w:fill="FFFFFF"/>
          <w:lang w:val="zh-CN"/>
        </w:rPr>
        <w:t>三公经费的使用严格控制在预算申报的范围内。加强专项资金管理工作组织领导。年初召开党组专题会议研究专项资金活动安排，做到四严“组织严密、质量严格、进度严抓、资金严管”。形成了主要领导亲自抓负总责，分管领导专门抓主要负责，相关科室配合抓共同负责、上下联手层层抓全面负责的工作格局。严格审批程序。按照“先报再审后用”的原则，由实施方提出申请，相关单位</w:t>
      </w:r>
      <w:r>
        <w:rPr>
          <w:rFonts w:hint="eastAsia" w:eastAsia="仿宋_GB2312" w:cs="Times New Roman"/>
          <w:color w:val="auto"/>
          <w:kern w:val="0"/>
          <w:sz w:val="32"/>
          <w:szCs w:val="32"/>
          <w:shd w:val="clear" w:color="auto" w:fill="FFFFFF"/>
          <w:lang w:val="en-US" w:eastAsia="zh-CN"/>
        </w:rPr>
        <w:t>处</w:t>
      </w:r>
      <w:r>
        <w:rPr>
          <w:rFonts w:hint="default" w:ascii="Times New Roman" w:hAnsi="Times New Roman" w:eastAsia="仿宋_GB2312" w:cs="Times New Roman"/>
          <w:color w:val="auto"/>
          <w:kern w:val="0"/>
          <w:sz w:val="32"/>
          <w:szCs w:val="32"/>
          <w:shd w:val="clear" w:color="auto" w:fill="FFFFFF"/>
          <w:lang w:val="zh-CN"/>
        </w:rPr>
        <w:t>室签署意见确认数量、规模和资金额度，经财务初审后，报机关分管领导及会党组讨论研究再审批，力求突破被动管理，向制度管理转变。</w:t>
      </w:r>
    </w:p>
    <w:p>
      <w:pPr>
        <w:keepNext w:val="0"/>
        <w:keepLines w:val="0"/>
        <w:pageBreakBefore w:val="0"/>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auto"/>
          <w:kern w:val="0"/>
          <w:sz w:val="32"/>
          <w:szCs w:val="32"/>
          <w:shd w:val="clear" w:color="auto" w:fill="FFFFFF"/>
          <w:lang w:val="en-US" w:eastAsia="zh-CN"/>
        </w:rPr>
        <w:t>5</w:t>
      </w:r>
      <w:r>
        <w:rPr>
          <w:rFonts w:hint="default" w:ascii="Times New Roman" w:hAnsi="Times New Roman" w:eastAsia="仿宋_GB2312" w:cs="Times New Roman"/>
          <w:color w:val="auto"/>
          <w:kern w:val="0"/>
          <w:sz w:val="32"/>
          <w:szCs w:val="32"/>
          <w:shd w:val="clear" w:color="auto" w:fill="FFFFFF"/>
          <w:lang w:val="zh-CN"/>
        </w:rPr>
        <w:t>.违规记录方面。全年未收到省纪委监委、财政厅、审计厅等部门关于</w:t>
      </w:r>
      <w:r>
        <w:rPr>
          <w:rFonts w:hint="default" w:ascii="Times New Roman" w:hAnsi="Times New Roman" w:eastAsia="仿宋_GB2312" w:cs="Times New Roman"/>
          <w:color w:val="auto"/>
          <w:kern w:val="0"/>
          <w:sz w:val="32"/>
          <w:szCs w:val="32"/>
          <w:shd w:val="clear" w:color="auto" w:fill="FFFFFF"/>
          <w:lang w:val="en-US" w:eastAsia="zh-CN"/>
        </w:rPr>
        <w:t>四川省社科联</w:t>
      </w:r>
      <w:r>
        <w:rPr>
          <w:rFonts w:hint="default" w:ascii="Times New Roman" w:hAnsi="Times New Roman" w:eastAsia="仿宋_GB2312" w:cs="Times New Roman"/>
          <w:color w:val="auto"/>
          <w:kern w:val="0"/>
          <w:sz w:val="32"/>
          <w:szCs w:val="32"/>
          <w:shd w:val="clear" w:color="auto" w:fill="FFFFFF"/>
          <w:lang w:val="zh-CN"/>
        </w:rPr>
        <w:t>违规违纪问题的反映。</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楷体_GB2312" w:cs="Times New Roman"/>
          <w:color w:val="auto"/>
          <w:sz w:val="32"/>
          <w:szCs w:val="32"/>
          <w:lang w:val="zh-CN"/>
        </w:rPr>
        <w:t>（二）结果应用情况</w:t>
      </w:r>
      <w:r>
        <w:rPr>
          <w:rFonts w:hint="default" w:ascii="Times New Roman" w:hAnsi="Times New Roman" w:eastAsia="仿宋_GB2312" w:cs="Times New Roman"/>
          <w:b/>
          <w:color w:val="auto"/>
          <w:sz w:val="30"/>
          <w:szCs w:val="30"/>
        </w:rPr>
        <w:t>（满分</w:t>
      </w:r>
      <w:r>
        <w:rPr>
          <w:rFonts w:hint="default" w:ascii="Times New Roman" w:hAnsi="Times New Roman" w:eastAsia="仿宋_GB2312" w:cs="Times New Roman"/>
          <w:b/>
          <w:color w:val="auto"/>
          <w:sz w:val="30"/>
          <w:szCs w:val="30"/>
          <w:lang w:val="en-US" w:eastAsia="zh-CN"/>
        </w:rPr>
        <w:t>20</w:t>
      </w:r>
      <w:r>
        <w:rPr>
          <w:rFonts w:hint="default" w:ascii="Times New Roman" w:hAnsi="Times New Roman" w:eastAsia="仿宋_GB2312" w:cs="Times New Roman"/>
          <w:b/>
          <w:color w:val="auto"/>
          <w:sz w:val="30"/>
          <w:szCs w:val="30"/>
        </w:rPr>
        <w:t>分，自评</w:t>
      </w:r>
      <w:r>
        <w:rPr>
          <w:rFonts w:hint="default" w:ascii="Times New Roman" w:hAnsi="Times New Roman" w:eastAsia="仿宋_GB2312" w:cs="Times New Roman"/>
          <w:b/>
          <w:color w:val="auto"/>
          <w:sz w:val="30"/>
          <w:szCs w:val="30"/>
          <w:lang w:val="en-US" w:eastAsia="zh-CN"/>
        </w:rPr>
        <w:t>20</w:t>
      </w:r>
      <w:r>
        <w:rPr>
          <w:rFonts w:hint="default" w:ascii="Times New Roman" w:hAnsi="Times New Roman" w:eastAsia="仿宋_GB2312" w:cs="Times New Roman"/>
          <w:b/>
          <w:color w:val="auto"/>
          <w:sz w:val="30"/>
          <w:szCs w:val="30"/>
        </w:rPr>
        <w:t>分）</w:t>
      </w:r>
    </w:p>
    <w:p>
      <w:pPr>
        <w:keepNext w:val="0"/>
        <w:keepLines w:val="0"/>
        <w:pageBreakBefore w:val="0"/>
        <w:kinsoku/>
        <w:wordWrap/>
        <w:overflowPunct/>
        <w:topLinePunct w:val="0"/>
        <w:autoSpaceDE/>
        <w:autoSpaceDN/>
        <w:bidi w:val="0"/>
        <w:spacing w:line="580" w:lineRule="exact"/>
        <w:ind w:left="0" w:leftChars="0" w:right="0" w:firstLine="639"/>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kern w:val="0"/>
          <w:sz w:val="32"/>
          <w:szCs w:val="32"/>
          <w:shd w:val="clear" w:color="auto" w:fill="FFFFFF"/>
          <w:lang w:val="en-US" w:eastAsia="zh-CN"/>
        </w:rPr>
        <w:t>2021</w:t>
      </w:r>
      <w:r>
        <w:rPr>
          <w:rFonts w:hint="default" w:ascii="Times New Roman" w:hAnsi="Times New Roman" w:eastAsia="仿宋_GB2312" w:cs="Times New Roman"/>
          <w:color w:val="auto"/>
          <w:kern w:val="0"/>
          <w:sz w:val="32"/>
          <w:szCs w:val="32"/>
          <w:shd w:val="clear" w:color="auto" w:fill="FFFFFF"/>
          <w:lang w:val="zh-CN"/>
        </w:rPr>
        <w:t>年，</w:t>
      </w:r>
      <w:r>
        <w:rPr>
          <w:rFonts w:hint="default" w:ascii="Times New Roman" w:hAnsi="Times New Roman" w:eastAsia="仿宋_GB2312" w:cs="Times New Roman"/>
          <w:color w:val="auto"/>
          <w:kern w:val="0"/>
          <w:sz w:val="32"/>
          <w:szCs w:val="32"/>
          <w:shd w:val="clear" w:color="auto" w:fill="FFFFFF"/>
          <w:lang w:val="zh-CN" w:eastAsia="zh-CN"/>
        </w:rPr>
        <w:t>我单位</w:t>
      </w:r>
      <w:r>
        <w:rPr>
          <w:rFonts w:hint="default" w:ascii="Times New Roman" w:hAnsi="Times New Roman" w:eastAsia="仿宋_GB2312" w:cs="Times New Roman"/>
          <w:color w:val="auto"/>
          <w:kern w:val="0"/>
          <w:sz w:val="32"/>
          <w:szCs w:val="32"/>
          <w:shd w:val="clear" w:color="auto" w:fill="FFFFFF"/>
          <w:lang w:val="zh-CN"/>
        </w:rPr>
        <w:t>针对年度部门预算项目及部门整体支出绩效目标完成情况进行了自评,并撰写自评报告。同时,积极配合财政厅开展绩效评价工作,及时提供相关佐证材料。抓好2021年度每月预算绩效管理结果和预算安排挂钩评估工作，做好预算执行及1-6月、1-8月绩效运行自行监控工作，从中发现资金使用和管理过程中的薄弱环节并及时纠偏，对1-8月绩效运行情况认真总结,按时报送自行监控报告。通过对自行监控过程中发现问题进行整改,强化评价结果与项目资金安排挂钩，将绩效评价结果与2022年项目支出预算额度挂钩。按照省委、省政府的要求，及时全面公开2021年部门预算，同时按要求将部门整体绩效自评、预算项目自评情况向社会公开，社会对我单位公开情况无任何负面、消极的反应。</w:t>
      </w:r>
    </w:p>
    <w:p>
      <w:pPr>
        <w:keepNext w:val="0"/>
        <w:keepLines w:val="0"/>
        <w:pageBreakBefore w:val="0"/>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楷体_GB2312" w:cs="Times New Roman"/>
          <w:color w:val="auto"/>
          <w:sz w:val="32"/>
          <w:szCs w:val="32"/>
          <w:lang w:val="zh-CN"/>
        </w:rPr>
        <w:t>（三）自评质量</w:t>
      </w:r>
      <w:r>
        <w:rPr>
          <w:rFonts w:hint="default" w:ascii="Times New Roman" w:hAnsi="Times New Roman" w:eastAsia="仿宋_GB2312" w:cs="Times New Roman"/>
          <w:b/>
          <w:bCs/>
          <w:color w:val="auto"/>
          <w:sz w:val="32"/>
          <w:szCs w:val="32"/>
          <w:lang w:val="zh-CN"/>
        </w:rPr>
        <w:t>（满分</w:t>
      </w:r>
      <w:r>
        <w:rPr>
          <w:rFonts w:hint="default" w:ascii="Times New Roman" w:hAnsi="Times New Roman" w:eastAsia="仿宋_GB2312" w:cs="Times New Roman"/>
          <w:b/>
          <w:bCs/>
          <w:color w:val="auto"/>
          <w:sz w:val="32"/>
          <w:szCs w:val="32"/>
          <w:lang w:val="en-US" w:eastAsia="zh-CN"/>
        </w:rPr>
        <w:t>10</w:t>
      </w:r>
      <w:r>
        <w:rPr>
          <w:rFonts w:hint="default" w:ascii="Times New Roman" w:hAnsi="Times New Roman" w:eastAsia="仿宋_GB2312" w:cs="Times New Roman"/>
          <w:b/>
          <w:bCs/>
          <w:color w:val="auto"/>
          <w:sz w:val="32"/>
          <w:szCs w:val="32"/>
          <w:lang w:val="zh-CN"/>
        </w:rPr>
        <w:t>分，自评</w:t>
      </w:r>
      <w:r>
        <w:rPr>
          <w:rFonts w:hint="default" w:ascii="Times New Roman" w:hAnsi="Times New Roman" w:eastAsia="仿宋_GB2312" w:cs="Times New Roman"/>
          <w:b/>
          <w:bCs/>
          <w:color w:val="auto"/>
          <w:sz w:val="32"/>
          <w:szCs w:val="32"/>
          <w:lang w:val="en-US" w:eastAsia="zh-CN"/>
        </w:rPr>
        <w:t>10</w:t>
      </w:r>
      <w:r>
        <w:rPr>
          <w:rFonts w:hint="default" w:ascii="Times New Roman" w:hAnsi="Times New Roman" w:eastAsia="仿宋_GB2312" w:cs="Times New Roman"/>
          <w:b/>
          <w:bCs/>
          <w:color w:val="auto"/>
          <w:sz w:val="32"/>
          <w:szCs w:val="32"/>
          <w:lang w:val="zh-CN"/>
        </w:rPr>
        <w:t>分）</w:t>
      </w:r>
    </w:p>
    <w:p>
      <w:pPr>
        <w:keepNext w:val="0"/>
        <w:keepLines w:val="0"/>
        <w:pageBreakBefore w:val="0"/>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2021年</w:t>
      </w:r>
      <w:r>
        <w:rPr>
          <w:rFonts w:hint="default" w:ascii="Times New Roman" w:hAnsi="Times New Roman" w:eastAsia="仿宋_GB2312" w:cs="Times New Roman"/>
          <w:color w:val="auto"/>
          <w:sz w:val="32"/>
          <w:szCs w:val="32"/>
          <w:lang w:val="zh-CN" w:eastAsia="zh-CN"/>
        </w:rPr>
        <w:t>部门整体支出自评得分为</w:t>
      </w:r>
      <w:r>
        <w:rPr>
          <w:rFonts w:hint="default" w:ascii="Times New Roman" w:hAnsi="Times New Roman" w:eastAsia="仿宋_GB2312" w:cs="Times New Roman"/>
          <w:color w:val="auto"/>
          <w:sz w:val="32"/>
          <w:szCs w:val="32"/>
          <w:lang w:val="en-US" w:eastAsia="zh-CN"/>
        </w:rPr>
        <w:t>78.59，</w:t>
      </w:r>
      <w:r>
        <w:rPr>
          <w:rFonts w:hint="default" w:ascii="Times New Roman" w:hAnsi="Times New Roman" w:eastAsia="仿宋_GB2312" w:cs="Times New Roman"/>
          <w:color w:val="auto"/>
          <w:sz w:val="32"/>
          <w:szCs w:val="32"/>
          <w:lang w:val="zh-CN" w:eastAsia="zh-CN"/>
        </w:rPr>
        <w:t>评价组抽查得分为</w:t>
      </w:r>
      <w:r>
        <w:rPr>
          <w:rFonts w:hint="default" w:ascii="Times New Roman" w:hAnsi="Times New Roman" w:eastAsia="仿宋_GB2312" w:cs="Times New Roman"/>
          <w:color w:val="auto"/>
          <w:sz w:val="32"/>
          <w:szCs w:val="32"/>
          <w:lang w:val="en-US" w:eastAsia="zh-CN"/>
        </w:rPr>
        <w:t>79.99。</w:t>
      </w:r>
      <w:r>
        <w:rPr>
          <w:rFonts w:hint="default" w:ascii="Times New Roman" w:hAnsi="Times New Roman" w:eastAsia="仿宋_GB2312" w:cs="Times New Roman"/>
          <w:color w:val="auto"/>
          <w:sz w:val="32"/>
          <w:szCs w:val="32"/>
          <w:lang w:val="zh-CN" w:eastAsia="zh-CN"/>
        </w:rPr>
        <w:t>差异率为</w:t>
      </w:r>
      <w:r>
        <w:rPr>
          <w:rFonts w:hint="default" w:ascii="Times New Roman" w:hAnsi="Times New Roman" w:eastAsia="仿宋_GB2312" w:cs="Times New Roman"/>
          <w:color w:val="auto"/>
          <w:sz w:val="32"/>
          <w:szCs w:val="32"/>
          <w:lang w:val="en-US" w:eastAsia="zh-CN"/>
        </w:rPr>
        <w:t>1.75%，按评价部门整体支出指标体系标准</w:t>
      </w:r>
      <w:r>
        <w:rPr>
          <w:rFonts w:hint="default" w:ascii="Times New Roman" w:hAnsi="Times New Roman" w:eastAsia="仿宋_GB2312" w:cs="Times New Roman"/>
          <w:color w:val="auto"/>
          <w:sz w:val="32"/>
          <w:szCs w:val="32"/>
          <w:lang w:val="zh-CN" w:eastAsia="zh-CN"/>
        </w:rPr>
        <w:t>不</w:t>
      </w:r>
      <w:r>
        <w:rPr>
          <w:rFonts w:hint="default" w:ascii="Times New Roman" w:hAnsi="Times New Roman" w:eastAsia="仿宋_GB2312" w:cs="Times New Roman"/>
          <w:color w:val="auto"/>
          <w:kern w:val="2"/>
          <w:sz w:val="32"/>
          <w:szCs w:val="32"/>
          <w:lang w:val="zh-CN" w:eastAsia="zh-CN" w:bidi="ar-SA"/>
        </w:rPr>
        <w:t>扣分。</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黑体" w:cs="Times New Roman"/>
          <w:color w:val="auto"/>
          <w:kern w:val="0"/>
          <w:sz w:val="32"/>
          <w:szCs w:val="32"/>
          <w:shd w:val="clear" w:color="auto" w:fill="FFFFFF"/>
        </w:rPr>
      </w:pPr>
      <w:r>
        <w:rPr>
          <w:rFonts w:hint="default" w:ascii="Times New Roman" w:hAnsi="Times New Roman" w:eastAsia="黑体" w:cs="Times New Roman"/>
          <w:color w:val="auto"/>
          <w:kern w:val="0"/>
          <w:sz w:val="32"/>
          <w:szCs w:val="32"/>
          <w:shd w:val="clear" w:color="auto" w:fill="FFFFFF"/>
        </w:rPr>
        <w:t>四、评价结论及建议</w:t>
      </w:r>
    </w:p>
    <w:p>
      <w:pPr>
        <w:keepNext w:val="0"/>
        <w:keepLines w:val="0"/>
        <w:pageBreakBefore w:val="0"/>
        <w:tabs>
          <w:tab w:val="left" w:pos="3255"/>
        </w:tabs>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楷体_GB2312" w:cs="Times New Roman"/>
          <w:color w:val="auto"/>
          <w:sz w:val="32"/>
          <w:szCs w:val="32"/>
          <w:lang w:val="zh-CN"/>
        </w:rPr>
      </w:pPr>
      <w:r>
        <w:rPr>
          <w:rFonts w:hint="default" w:ascii="Times New Roman" w:hAnsi="Times New Roman" w:eastAsia="楷体_GB2312" w:cs="Times New Roman"/>
          <w:color w:val="auto"/>
          <w:sz w:val="32"/>
          <w:szCs w:val="32"/>
          <w:lang w:val="zh-CN"/>
        </w:rPr>
        <w:t>（一）评价结论</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auto"/>
          <w:sz w:val="32"/>
          <w:szCs w:val="32"/>
          <w:lang w:val="zh-CN"/>
        </w:rPr>
        <w:t>根据部门支出绩效各项评价指标体系，我单位</w:t>
      </w:r>
      <w:r>
        <w:rPr>
          <w:rFonts w:hint="default" w:ascii="Times New Roman" w:hAnsi="Times New Roman" w:eastAsia="仿宋_GB2312" w:cs="Times New Roman"/>
          <w:color w:val="auto"/>
          <w:sz w:val="32"/>
          <w:szCs w:val="32"/>
          <w:lang w:val="en-US" w:eastAsia="zh-CN"/>
        </w:rPr>
        <w:t>2021</w:t>
      </w:r>
      <w:r>
        <w:rPr>
          <w:rFonts w:hint="default" w:ascii="Times New Roman" w:hAnsi="Times New Roman" w:eastAsia="仿宋_GB2312" w:cs="Times New Roman"/>
          <w:color w:val="auto"/>
          <w:sz w:val="32"/>
          <w:szCs w:val="32"/>
          <w:lang w:val="zh-CN"/>
        </w:rPr>
        <w:t>年部门财政资金整体支出绩效自评得分</w:t>
      </w:r>
      <w:r>
        <w:rPr>
          <w:rFonts w:hint="default" w:ascii="Times New Roman" w:hAnsi="Times New Roman" w:eastAsia="仿宋_GB2312" w:cs="Times New Roman"/>
          <w:color w:val="auto"/>
          <w:kern w:val="0"/>
          <w:sz w:val="32"/>
          <w:szCs w:val="32"/>
          <w:shd w:val="clear" w:color="auto" w:fill="FFFFFF"/>
          <w:lang w:val="en-US" w:eastAsia="zh-CN"/>
        </w:rPr>
        <w:t>85.23</w:t>
      </w:r>
      <w:r>
        <w:rPr>
          <w:rFonts w:hint="default" w:ascii="Times New Roman" w:hAnsi="Times New Roman" w:eastAsia="仿宋_GB2312" w:cs="Times New Roman"/>
          <w:color w:val="auto"/>
          <w:sz w:val="32"/>
          <w:szCs w:val="32"/>
          <w:lang w:val="zh-CN"/>
        </w:rPr>
        <w:t>分。</w:t>
      </w:r>
    </w:p>
    <w:p>
      <w:pPr>
        <w:keepNext w:val="0"/>
        <w:keepLines w:val="0"/>
        <w:pageBreakBefore w:val="0"/>
        <w:tabs>
          <w:tab w:val="left" w:pos="3255"/>
        </w:tabs>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楷体_GB2312" w:cs="Times New Roman"/>
          <w:color w:val="auto"/>
          <w:sz w:val="32"/>
          <w:szCs w:val="32"/>
          <w:lang w:val="zh-CN"/>
        </w:rPr>
      </w:pPr>
      <w:r>
        <w:rPr>
          <w:rFonts w:hint="default" w:ascii="Times New Roman" w:hAnsi="Times New Roman" w:eastAsia="楷体_GB2312" w:cs="Times New Roman"/>
          <w:color w:val="auto"/>
          <w:sz w:val="32"/>
          <w:szCs w:val="32"/>
          <w:lang w:val="zh-CN"/>
        </w:rPr>
        <w:t>（二）存在问题</w:t>
      </w:r>
    </w:p>
    <w:p>
      <w:pPr>
        <w:keepNext w:val="0"/>
        <w:keepLines w:val="0"/>
        <w:pageBreakBefore w:val="0"/>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1.社会科学类项目，比如社科普及基地的作用发挥</w:t>
      </w:r>
      <w:r>
        <w:rPr>
          <w:rFonts w:hint="eastAsia"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对群众开展社科普及的成效评价</w:t>
      </w:r>
      <w:r>
        <w:rPr>
          <w:rFonts w:hint="eastAsia"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对优秀传统文化的传承等，不像工程类项目便于细化、硬化招标评价。在这方面，我们通过对省级学会、社科重点研究基地、社科重点普及基地，实行动态管理，也正在积极探索可量化的评价标准体系，以切实提高社科类项目经费的使用绩效。</w:t>
      </w:r>
    </w:p>
    <w:p>
      <w:pPr>
        <w:keepNext w:val="0"/>
        <w:keepLines w:val="0"/>
        <w:pageBreakBefore w:val="0"/>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2.编制部门预算时，更多地参照往年项目支出情况，对本年度工作可能发生的新情况或工作计划调整等，还缺乏前瞻性和整体性</w:t>
      </w:r>
      <w:r>
        <w:rPr>
          <w:rFonts w:hint="eastAsia" w:eastAsia="仿宋_GB2312" w:cs="Times New Roman"/>
          <w:color w:val="auto"/>
          <w:sz w:val="32"/>
          <w:szCs w:val="32"/>
          <w:lang w:val="en-US" w:eastAsia="zh-CN"/>
        </w:rPr>
        <w:t>思考</w:t>
      </w:r>
      <w:r>
        <w:rPr>
          <w:rFonts w:hint="default" w:ascii="Times New Roman" w:hAnsi="Times New Roman" w:eastAsia="仿宋_GB2312" w:cs="Times New Roman"/>
          <w:color w:val="auto"/>
          <w:sz w:val="32"/>
          <w:szCs w:val="32"/>
          <w:lang w:val="zh-CN"/>
        </w:rPr>
        <w:t>，所以一些项目及其经济科目的资金金额只能做到相对准确，在执行过程中又不便修订，一定程度上影响了预算的执行和经济科目支付的准确性。</w:t>
      </w:r>
    </w:p>
    <w:p>
      <w:pPr>
        <w:keepNext w:val="0"/>
        <w:keepLines w:val="0"/>
        <w:pageBreakBefore w:val="0"/>
        <w:tabs>
          <w:tab w:val="left" w:pos="3255"/>
        </w:tabs>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楷体_GB2312" w:cs="Times New Roman"/>
          <w:color w:val="auto"/>
          <w:sz w:val="32"/>
          <w:szCs w:val="32"/>
          <w:lang w:val="zh-CN"/>
        </w:rPr>
      </w:pPr>
      <w:r>
        <w:rPr>
          <w:rFonts w:hint="default" w:ascii="Times New Roman" w:hAnsi="Times New Roman" w:eastAsia="楷体_GB2312" w:cs="Times New Roman"/>
          <w:color w:val="auto"/>
          <w:sz w:val="32"/>
          <w:szCs w:val="32"/>
          <w:lang w:val="zh-CN"/>
        </w:rPr>
        <w:t>（三）改进措施</w:t>
      </w:r>
    </w:p>
    <w:p>
      <w:pPr>
        <w:keepNext w:val="0"/>
        <w:keepLines w:val="0"/>
        <w:pageBreakBefore w:val="0"/>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1.主动对接省财政厅相关处室，吃透政策、提升业务。</w:t>
      </w:r>
    </w:p>
    <w:p>
      <w:pPr>
        <w:keepNext w:val="0"/>
        <w:keepLines w:val="0"/>
        <w:pageBreakBefore w:val="0"/>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2.加强内控制度建设，每年开展内部审计，切实规范单位财务管理各项制度。</w:t>
      </w:r>
    </w:p>
    <w:p>
      <w:pPr>
        <w:keepNext w:val="0"/>
        <w:keepLines w:val="0"/>
        <w:pageBreakBefore w:val="0"/>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3.学好用好“中期评估”的程序，充分</w:t>
      </w:r>
      <w:r>
        <w:rPr>
          <w:rFonts w:hint="default" w:ascii="Times New Roman" w:hAnsi="Times New Roman" w:eastAsia="仿宋_GB2312" w:cs="Times New Roman"/>
          <w:color w:val="auto"/>
          <w:sz w:val="32"/>
          <w:szCs w:val="32"/>
        </w:rPr>
        <w:t>发挥“中期评估”的作用。</w:t>
      </w:r>
    </w:p>
    <w:p>
      <w:pPr>
        <w:keepNext w:val="0"/>
        <w:keepLines w:val="0"/>
        <w:pageBreakBefore w:val="0"/>
        <w:kinsoku/>
        <w:wordWrap/>
        <w:overflowPunct/>
        <w:topLinePunct w:val="0"/>
        <w:autoSpaceDE/>
        <w:autoSpaceDN/>
        <w:bidi w:val="0"/>
        <w:spacing w:line="58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进一步改进评价体系。我单位是社会科学管理机构，而社会科学的经济效益和社会效益的评价与自然科学的效益评价差别较大，一是产生效益周期长，短期内难以评价；二是对于评价的体系和指标，难以量化地制订，使评价符合社会科学自身的规律。</w:t>
      </w:r>
    </w:p>
    <w:p>
      <w:pPr>
        <w:keepNext w:val="0"/>
        <w:keepLines w:val="0"/>
        <w:pageBreakBefore w:val="0"/>
        <w:kinsoku/>
        <w:wordWrap/>
        <w:overflowPunct/>
        <w:topLinePunct w:val="0"/>
        <w:autoSpaceDE/>
        <w:autoSpaceDN/>
        <w:bidi w:val="0"/>
        <w:spacing w:line="58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5.进一步加强拨付经费使用绩效的后续追踪管理。</w:t>
      </w:r>
    </w:p>
    <w:p>
      <w:pPr>
        <w:pStyle w:val="2"/>
        <w:rPr>
          <w:rFonts w:hint="default" w:ascii="Times New Roman" w:hAnsi="Times New Roman" w:eastAsia="仿宋_GB2312" w:cs="Times New Roman"/>
          <w:color w:val="auto"/>
          <w:sz w:val="32"/>
          <w:szCs w:val="32"/>
          <w:lang w:val="zh-CN"/>
        </w:rPr>
      </w:pPr>
    </w:p>
    <w:p>
      <w:pPr>
        <w:pStyle w:val="2"/>
        <w:rPr>
          <w:rFonts w:hint="default" w:ascii="Times New Roman" w:hAnsi="Times New Roman" w:eastAsia="仿宋_GB2312" w:cs="Times New Roman"/>
          <w:color w:val="auto"/>
          <w:sz w:val="32"/>
          <w:szCs w:val="32"/>
          <w:lang w:val="zh-CN"/>
        </w:rPr>
      </w:pPr>
    </w:p>
    <w:p>
      <w:pPr>
        <w:pStyle w:val="2"/>
        <w:rPr>
          <w:rFonts w:hint="default" w:ascii="Times New Roman" w:hAnsi="Times New Roman" w:eastAsia="仿宋_GB2312" w:cs="Times New Roman"/>
          <w:color w:val="auto"/>
          <w:sz w:val="32"/>
          <w:szCs w:val="32"/>
          <w:lang w:val="zh-CN"/>
        </w:rPr>
      </w:pPr>
    </w:p>
    <w:p>
      <w:pPr>
        <w:pStyle w:val="2"/>
        <w:rPr>
          <w:rFonts w:hint="default" w:ascii="Times New Roman" w:hAnsi="Times New Roman" w:eastAsia="仿宋_GB2312" w:cs="Times New Roman"/>
          <w:color w:val="auto"/>
          <w:sz w:val="32"/>
          <w:szCs w:val="32"/>
          <w:lang w:val="zh-CN"/>
        </w:rPr>
      </w:pPr>
    </w:p>
    <w:p>
      <w:pPr>
        <w:pStyle w:val="2"/>
        <w:rPr>
          <w:rFonts w:hint="default" w:ascii="Times New Roman" w:hAnsi="Times New Roman" w:eastAsia="仿宋_GB2312" w:cs="Times New Roman"/>
          <w:color w:val="auto"/>
          <w:sz w:val="32"/>
          <w:szCs w:val="32"/>
          <w:lang w:val="zh-CN"/>
        </w:rPr>
      </w:pPr>
    </w:p>
    <w:p>
      <w:pPr>
        <w:pStyle w:val="2"/>
        <w:rPr>
          <w:rFonts w:hint="default" w:ascii="Times New Roman" w:hAnsi="Times New Roman" w:eastAsia="仿宋_GB2312" w:cs="Times New Roman"/>
          <w:color w:val="auto"/>
          <w:sz w:val="32"/>
          <w:szCs w:val="32"/>
          <w:lang w:val="zh-CN"/>
        </w:rPr>
      </w:pPr>
    </w:p>
    <w:p>
      <w:pPr>
        <w:pStyle w:val="2"/>
        <w:rPr>
          <w:rFonts w:hint="default" w:ascii="Times New Roman" w:hAnsi="Times New Roman" w:eastAsia="仿宋_GB2312" w:cs="Times New Roman"/>
          <w:color w:val="auto"/>
          <w:sz w:val="32"/>
          <w:szCs w:val="32"/>
          <w:lang w:val="zh-CN"/>
        </w:rPr>
      </w:pPr>
    </w:p>
    <w:p>
      <w:pPr>
        <w:pStyle w:val="2"/>
        <w:rPr>
          <w:rFonts w:hint="default" w:ascii="Times New Roman" w:hAnsi="Times New Roman" w:eastAsia="仿宋_GB2312" w:cs="Times New Roman"/>
          <w:color w:val="auto"/>
          <w:sz w:val="32"/>
          <w:szCs w:val="32"/>
          <w:lang w:val="zh-CN"/>
        </w:rPr>
      </w:pPr>
    </w:p>
    <w:p>
      <w:pPr>
        <w:pStyle w:val="2"/>
        <w:rPr>
          <w:rFonts w:hint="default" w:ascii="Times New Roman" w:hAnsi="Times New Roman" w:eastAsia="仿宋_GB2312" w:cs="Times New Roman"/>
          <w:color w:val="auto"/>
          <w:sz w:val="32"/>
          <w:szCs w:val="32"/>
          <w:lang w:val="zh-CN"/>
        </w:rPr>
      </w:pPr>
    </w:p>
    <w:p>
      <w:pPr>
        <w:pStyle w:val="2"/>
        <w:rPr>
          <w:rFonts w:hint="default" w:ascii="Times New Roman" w:hAnsi="Times New Roman" w:eastAsia="仿宋_GB2312" w:cs="Times New Roman"/>
          <w:color w:val="auto"/>
          <w:sz w:val="32"/>
          <w:szCs w:val="32"/>
          <w:lang w:val="zh-CN"/>
        </w:rPr>
      </w:pPr>
    </w:p>
    <w:p>
      <w:pPr>
        <w:pStyle w:val="2"/>
        <w:rPr>
          <w:rFonts w:hint="default" w:ascii="Times New Roman" w:hAnsi="Times New Roman" w:eastAsia="仿宋_GB2312" w:cs="Times New Roman"/>
          <w:color w:val="auto"/>
          <w:sz w:val="32"/>
          <w:szCs w:val="32"/>
          <w:lang w:val="zh-CN"/>
        </w:rPr>
      </w:pPr>
    </w:p>
    <w:p>
      <w:pPr>
        <w:pStyle w:val="2"/>
        <w:rPr>
          <w:rFonts w:hint="default" w:ascii="Times New Roman" w:hAnsi="Times New Roman" w:eastAsia="仿宋_GB2312" w:cs="Times New Roman"/>
          <w:color w:val="auto"/>
          <w:sz w:val="32"/>
          <w:szCs w:val="32"/>
          <w:lang w:val="zh-CN"/>
        </w:rPr>
      </w:pPr>
    </w:p>
    <w:p>
      <w:pPr>
        <w:pStyle w:val="2"/>
        <w:rPr>
          <w:rFonts w:hint="default" w:ascii="Times New Roman" w:hAnsi="Times New Roman" w:eastAsia="仿宋_GB2312" w:cs="Times New Roman"/>
          <w:color w:val="auto"/>
          <w:sz w:val="32"/>
          <w:szCs w:val="32"/>
          <w:lang w:val="zh-CN"/>
        </w:rPr>
      </w:pPr>
    </w:p>
    <w:p>
      <w:pPr>
        <w:pStyle w:val="2"/>
        <w:rPr>
          <w:rFonts w:hint="default" w:ascii="Times New Roman" w:hAnsi="Times New Roman" w:eastAsia="仿宋_GB2312" w:cs="Times New Roman"/>
          <w:color w:val="auto"/>
          <w:sz w:val="32"/>
          <w:szCs w:val="32"/>
          <w:lang w:val="zh-CN"/>
        </w:rPr>
      </w:pPr>
    </w:p>
    <w:p>
      <w:pPr>
        <w:pStyle w:val="2"/>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color w:val="auto"/>
          <w:sz w:val="32"/>
          <w:szCs w:val="32"/>
          <w:lang w:val="zh-CN"/>
        </w:rPr>
      </w:pPr>
    </w:p>
    <w:p>
      <w:pPr>
        <w:pStyle w:val="2"/>
        <w:keepNext w:val="0"/>
        <w:keepLines w:val="0"/>
        <w:pageBreakBefore w:val="0"/>
        <w:kinsoku/>
        <w:wordWrap/>
        <w:overflowPunct/>
        <w:topLinePunct w:val="0"/>
        <w:autoSpaceDE/>
        <w:autoSpaceDN/>
        <w:bidi w:val="0"/>
        <w:spacing w:line="400" w:lineRule="exact"/>
        <w:rPr>
          <w:rFonts w:hint="default" w:ascii="Times New Roman" w:hAnsi="Times New Roman" w:eastAsia="仿宋_GB2312" w:cs="Times New Roman"/>
          <w:color w:val="auto"/>
          <w:sz w:val="32"/>
          <w:szCs w:val="32"/>
          <w:lang w:val="zh-CN"/>
        </w:rPr>
      </w:pPr>
    </w:p>
    <w:tbl>
      <w:tblPr>
        <w:tblStyle w:val="14"/>
        <w:tblpPr w:leftFromText="180" w:rightFromText="180" w:vertAnchor="text" w:horzAnchor="page" w:tblpX="1052" w:tblpY="660"/>
        <w:tblOverlap w:val="never"/>
        <w:tblW w:w="104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7"/>
        <w:gridCol w:w="36"/>
        <w:gridCol w:w="325"/>
        <w:gridCol w:w="30"/>
        <w:gridCol w:w="1860"/>
        <w:gridCol w:w="427"/>
        <w:gridCol w:w="236"/>
        <w:gridCol w:w="1557"/>
        <w:gridCol w:w="236"/>
        <w:gridCol w:w="36"/>
        <w:gridCol w:w="1393"/>
        <w:gridCol w:w="236"/>
        <w:gridCol w:w="36"/>
        <w:gridCol w:w="1671"/>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5" w:hRule="atLeast"/>
        </w:trPr>
        <w:tc>
          <w:tcPr>
            <w:tcW w:w="10216" w:type="dxa"/>
            <w:gridSpan w:val="1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Autospacing="0" w:line="400" w:lineRule="exact"/>
              <w:jc w:val="both"/>
              <w:textAlignment w:val="center"/>
              <w:rPr>
                <w:rFonts w:hint="default" w:ascii="Times New Roman" w:hAnsi="Times New Roman" w:eastAsia="宋体" w:cs="Times New Roman"/>
                <w:b/>
                <w:i w:val="0"/>
                <w:color w:val="auto"/>
                <w:sz w:val="32"/>
                <w:szCs w:val="32"/>
                <w:highlight w:val="none"/>
                <w:u w:val="none"/>
                <w:lang w:val="en-US" w:eastAsia="zh-CN"/>
              </w:rPr>
            </w:pPr>
            <w:r>
              <w:rPr>
                <w:rFonts w:hint="default" w:ascii="Times New Roman" w:hAnsi="Times New Roman" w:cs="Times New Roman"/>
                <w:b/>
                <w:i w:val="0"/>
                <w:color w:val="auto"/>
                <w:sz w:val="32"/>
                <w:szCs w:val="32"/>
                <w:highlight w:val="none"/>
                <w:u w:val="none"/>
                <w:lang w:val="en-US" w:eastAsia="zh-CN"/>
              </w:rPr>
              <w:t>附表</w:t>
            </w:r>
          </w:p>
          <w:p>
            <w:pPr>
              <w:keepNext w:val="0"/>
              <w:keepLines w:val="0"/>
              <w:pageBreakBefore w:val="0"/>
              <w:widowControl/>
              <w:suppressLineNumbers w:val="0"/>
              <w:kinsoku/>
              <w:wordWrap/>
              <w:overflowPunct/>
              <w:topLinePunct w:val="0"/>
              <w:autoSpaceDE/>
              <w:autoSpaceDN/>
              <w:bidi w:val="0"/>
              <w:spacing w:beforeAutospacing="0" w:line="400" w:lineRule="exact"/>
              <w:jc w:val="both"/>
              <w:textAlignment w:val="center"/>
              <w:rPr>
                <w:rFonts w:hint="default" w:ascii="Times New Roman" w:hAnsi="Times New Roman" w:eastAsia="宋体" w:cs="Times New Roman"/>
                <w:b/>
                <w:i w:val="0"/>
                <w:color w:val="auto"/>
                <w:sz w:val="32"/>
                <w:szCs w:val="32"/>
                <w:highlight w:val="none"/>
                <w:u w:val="none"/>
              </w:rPr>
            </w:pPr>
            <w:r>
              <w:rPr>
                <w:rFonts w:hint="default" w:ascii="Times New Roman" w:hAnsi="Times New Roman" w:eastAsia="宋体" w:cs="Times New Roman"/>
                <w:b/>
                <w:i w:val="0"/>
                <w:color w:val="auto"/>
                <w:sz w:val="32"/>
                <w:szCs w:val="32"/>
                <w:highlight w:val="none"/>
                <w:u w:val="none"/>
                <w:lang w:val="en-US" w:eastAsia="zh-CN"/>
              </w:rPr>
              <w:t>2021年100万元以上（含）特定目标类部门预算项目绩效目标自评</w:t>
            </w:r>
          </w:p>
        </w:tc>
        <w:tc>
          <w:tcPr>
            <w:tcW w:w="23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Times New Roman" w:hAnsi="Times New Roman" w:eastAsia="宋体" w:cs="Times New Roman"/>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0216" w:type="dxa"/>
            <w:gridSpan w:val="1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Autospacing="0" w:line="400" w:lineRule="exact"/>
              <w:jc w:val="center"/>
              <w:textAlignment w:val="center"/>
              <w:rPr>
                <w:rFonts w:hint="default" w:ascii="Times New Roman" w:hAnsi="Times New Roman" w:eastAsia="宋体" w:cs="Times New Roman"/>
                <w:b/>
                <w:i w:val="0"/>
                <w:color w:val="auto"/>
                <w:sz w:val="32"/>
                <w:szCs w:val="32"/>
                <w:highlight w:val="none"/>
                <w:u w:val="none"/>
                <w:lang w:val="en-US" w:eastAsia="zh-CN"/>
              </w:rPr>
            </w:pPr>
            <w:r>
              <w:rPr>
                <w:rFonts w:hint="default" w:ascii="Times New Roman" w:hAnsi="Times New Roman" w:eastAsia="宋体" w:cs="Times New Roman"/>
                <w:b/>
                <w:i w:val="0"/>
                <w:color w:val="auto"/>
                <w:sz w:val="32"/>
                <w:szCs w:val="32"/>
                <w:highlight w:val="none"/>
                <w:u w:val="none"/>
                <w:lang w:val="en-US" w:eastAsia="zh-CN"/>
              </w:rPr>
              <w:t>社科学术活动及课题研究管理经费项目</w:t>
            </w:r>
          </w:p>
        </w:tc>
        <w:tc>
          <w:tcPr>
            <w:tcW w:w="23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Times New Roman" w:hAnsi="Times New Roman" w:eastAsia="宋体" w:cs="Times New Roman"/>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主管部门及代码</w:t>
            </w:r>
          </w:p>
        </w:tc>
        <w:tc>
          <w:tcPr>
            <w:tcW w:w="44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0"/>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rPr>
              <w:t>四川省社会科学界联合会</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实施单位</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rPr>
              <w:t>四川省社科联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90" w:hRule="atLeast"/>
        </w:trPr>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（万元）</w:t>
            </w:r>
          </w:p>
        </w:tc>
        <w:tc>
          <w:tcPr>
            <w:tcW w:w="2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 xml:space="preserve"> 预算数：</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rPr>
              <w:t>1024</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 xml:space="preserve"> 执行数：</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rPr>
              <w:t>930.13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90" w:hRule="atLeast"/>
        </w:trPr>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auto"/>
                <w:sz w:val="18"/>
                <w:szCs w:val="18"/>
                <w:highlight w:val="none"/>
                <w:u w:val="none"/>
              </w:rPr>
            </w:pPr>
          </w:p>
        </w:tc>
        <w:tc>
          <w:tcPr>
            <w:tcW w:w="2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财政拨款</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rPr>
              <w:t>1024</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财政拨款</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rPr>
              <w:t>930.13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auto"/>
                <w:sz w:val="18"/>
                <w:szCs w:val="18"/>
                <w:highlight w:val="none"/>
                <w:u w:val="none"/>
              </w:rPr>
            </w:pPr>
          </w:p>
        </w:tc>
        <w:tc>
          <w:tcPr>
            <w:tcW w:w="2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其他资金</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0</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其他资金</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完成情况</w:t>
            </w:r>
          </w:p>
        </w:tc>
        <w:tc>
          <w:tcPr>
            <w:tcW w:w="44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预期目标</w:t>
            </w:r>
          </w:p>
        </w:tc>
        <w:tc>
          <w:tcPr>
            <w:tcW w:w="36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3940" w:hRule="atLeast"/>
        </w:trPr>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auto"/>
                <w:sz w:val="18"/>
                <w:szCs w:val="18"/>
                <w:highlight w:val="none"/>
                <w:u w:val="none"/>
              </w:rPr>
            </w:pPr>
          </w:p>
        </w:tc>
        <w:tc>
          <w:tcPr>
            <w:tcW w:w="44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rPr>
              <w:t>1.提高我省国家社科基金项目的申报竞争力和立项率，争取得到国家更多的经费支持。2.通过开展省社科规划年度项目、重大项目、后期资助项目、思想政治理论课研究项目的评审立项，在全省范围内资助社科研究，提升研究水平，培育学术人才，产出优秀成果。3.加强对国家和省社科规划项目的管理工作，提高项目完成质量，提高项目结项率和优秀率。4.充分利用省社科规划管理系统提高课题管理的信息化、数据化水平。5.召开省社科规划工作会，通报国家社科基金的前沿信息，对国家和省社科规划申报管理工作进行学习交流、总结提高，提升我省社科研究和管理水平。6.赴省内外开展国家、省社科规划课题调研，交流经验，摸清省内课题研究家底，掌握与兄弟省市的差距，取长补短，推动我省社科研究长效发展。</w:t>
            </w:r>
          </w:p>
        </w:tc>
        <w:tc>
          <w:tcPr>
            <w:tcW w:w="36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rPr>
              <w:t>提高我省国家社科基金项目的申报竞争力和立项率，争取得到国家更多的经费支持。通过开展省社科规划年度项目、重大项目、思想政治理论课研究项目等的评审立项，在全省范围内资助社科研究，提升研究水平，培育学术人才，产出优秀成果。加强对国家和省社科规划项目的管理工作，提高项目完成质量，提高项目结项率和优秀率。充分利用省社科规划管理系统提高课题管理的信息化、数据化水平。赴四川大学、西南财经大学、省委党校、宜宾学院、攀枝花学院、西昌学院等科研单位，交流指导国家和省社科规划申报管理工作，提升我省社科研究和管理水平。赴北京、湖北等开展国家、省社科规划课题调研，交流学习，推动我省社科研究长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90" w:hRule="atLeast"/>
        </w:trPr>
        <w:tc>
          <w:tcPr>
            <w:tcW w:w="21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center"/>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年度绩效指标完成情况</w:t>
            </w:r>
          </w:p>
        </w:tc>
        <w:tc>
          <w:tcPr>
            <w:tcW w:w="3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center"/>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2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center"/>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center"/>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center"/>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预期指标值</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center"/>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213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3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w:t>
            </w:r>
          </w:p>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成</w:t>
            </w:r>
          </w:p>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w:t>
            </w:r>
          </w:p>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标</w:t>
            </w:r>
          </w:p>
        </w:tc>
        <w:tc>
          <w:tcPr>
            <w:tcW w:w="255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Style w:val="34"/>
                <w:rFonts w:hint="default" w:ascii="Times New Roman" w:hAnsi="Times New Roman" w:cs="Times New Roman"/>
                <w:sz w:val="18"/>
                <w:szCs w:val="18"/>
                <w:lang w:val="en-US" w:eastAsia="zh-CN" w:bidi="ar"/>
              </w:rPr>
              <w:t>年度国家社科基金评审</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1200项</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2137" w:type="dxa"/>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255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2021年度重点项目、一般项目、青年项目立项、评审和课题立项</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90" w:hRule="atLeast"/>
        </w:trPr>
        <w:tc>
          <w:tcPr>
            <w:tcW w:w="2137" w:type="dxa"/>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255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2021年度专项课题评审和课题立项</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90" w:hRule="atLeast"/>
        </w:trPr>
        <w:tc>
          <w:tcPr>
            <w:tcW w:w="2137" w:type="dxa"/>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255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2021年重大项目立项经费</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2137" w:type="dxa"/>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2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开展省社科规划年度项目、重大项目的评审立项验收合格率</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大于95%</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2137" w:type="dxa"/>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2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完成时限</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2021年12月30日前</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Style w:val="35"/>
                <w:rFonts w:hint="default" w:ascii="Times New Roman" w:hAnsi="Times New Roman" w:cs="Times New Roman"/>
                <w:sz w:val="18"/>
                <w:szCs w:val="18"/>
                <w:lang w:val="en-US" w:eastAsia="zh-CN" w:bidi="ar"/>
              </w:rPr>
              <w:t>年</w:t>
            </w:r>
            <w:r>
              <w:rPr>
                <w:rStyle w:val="36"/>
                <w:rFonts w:hint="default" w:ascii="Times New Roman" w:hAnsi="Times New Roman" w:eastAsia="宋体" w:cs="Times New Roman"/>
                <w:sz w:val="18"/>
                <w:szCs w:val="18"/>
                <w:lang w:val="en-US" w:eastAsia="zh-CN" w:bidi="ar"/>
              </w:rPr>
              <w:t>12</w:t>
            </w:r>
            <w:r>
              <w:rPr>
                <w:rStyle w:val="35"/>
                <w:rFonts w:hint="default" w:ascii="Times New Roman" w:hAnsi="Times New Roman" w:cs="Times New Roman"/>
                <w:sz w:val="18"/>
                <w:szCs w:val="18"/>
                <w:lang w:val="en-US" w:eastAsia="zh-CN" w:bidi="ar"/>
              </w:rPr>
              <w:t>月</w:t>
            </w:r>
            <w:r>
              <w:rPr>
                <w:rStyle w:val="36"/>
                <w:rFonts w:hint="default" w:ascii="Times New Roman" w:hAnsi="Times New Roman" w:eastAsia="宋体" w:cs="Times New Roman"/>
                <w:sz w:val="18"/>
                <w:szCs w:val="18"/>
                <w:lang w:val="en-US" w:eastAsia="zh-CN" w:bidi="ar"/>
              </w:rPr>
              <w:t>30</w:t>
            </w:r>
            <w:r>
              <w:rPr>
                <w:rStyle w:val="35"/>
                <w:rFonts w:hint="default" w:ascii="Times New Roman" w:hAnsi="Times New Roman" w:cs="Times New Roman"/>
                <w:sz w:val="18"/>
                <w:szCs w:val="18"/>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90" w:hRule="atLeast"/>
        </w:trPr>
        <w:tc>
          <w:tcPr>
            <w:tcW w:w="2137" w:type="dxa"/>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2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无</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无</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90" w:hRule="atLeast"/>
        </w:trPr>
        <w:tc>
          <w:tcPr>
            <w:tcW w:w="2137" w:type="dxa"/>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3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效</w:t>
            </w:r>
          </w:p>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益</w:t>
            </w:r>
          </w:p>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w:t>
            </w:r>
          </w:p>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标</w:t>
            </w:r>
          </w:p>
        </w:tc>
        <w:tc>
          <w:tcPr>
            <w:tcW w:w="2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21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exact"/>
              <w:jc w:val="both"/>
              <w:rPr>
                <w:rFonts w:hint="default" w:ascii="Times New Roman" w:hAnsi="Times New Roman" w:eastAsia="仿宋_GB2312" w:cs="Times New Roman"/>
                <w:i w:val="0"/>
                <w:color w:val="auto"/>
                <w:sz w:val="18"/>
                <w:szCs w:val="18"/>
                <w:highlight w:val="none"/>
                <w:u w:val="none"/>
              </w:rPr>
            </w:pPr>
          </w:p>
        </w:tc>
        <w:tc>
          <w:tcPr>
            <w:tcW w:w="2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提高社科团队和社科人才研究能力</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提高我省国家社科基金项目的申报竞争力和立项率，争取得到国家更多的经费支持</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exact"/>
              <w:jc w:val="both"/>
              <w:textAlignment w:val="bottom"/>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争取国家社科基金项目立项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0216" w:type="dxa"/>
            <w:gridSpan w:val="14"/>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default" w:ascii="Times New Roman" w:hAnsi="Times New Roman" w:eastAsia="宋体" w:cs="Times New Roman"/>
                <w:b/>
                <w:i w:val="0"/>
                <w:color w:val="auto"/>
                <w:sz w:val="32"/>
                <w:szCs w:val="32"/>
                <w:highlight w:val="none"/>
                <w:u w:val="none"/>
              </w:rPr>
            </w:pPr>
            <w:r>
              <w:rPr>
                <w:rFonts w:hint="default" w:ascii="Times New Roman" w:hAnsi="Times New Roman" w:eastAsia="宋体" w:cs="Times New Roman"/>
                <w:b/>
                <w:i w:val="0"/>
                <w:color w:val="auto"/>
                <w:sz w:val="32"/>
                <w:szCs w:val="32"/>
                <w:highlight w:val="none"/>
                <w:u w:val="none"/>
                <w:lang w:val="en-US" w:eastAsia="zh-CN"/>
              </w:rPr>
              <w:t>2021年100万元以上（含）特定目标类部门预算项目绩效目标自评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90" w:hRule="atLeast"/>
        </w:trPr>
        <w:tc>
          <w:tcPr>
            <w:tcW w:w="10216" w:type="dxa"/>
            <w:gridSpan w:val="14"/>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auto"/>
                <w:sz w:val="22"/>
                <w:szCs w:val="22"/>
                <w:highlight w:val="none"/>
                <w:u w:val="none"/>
                <w:lang w:val="en-US" w:eastAsia="zh-CN"/>
              </w:rPr>
            </w:pPr>
            <w:r>
              <w:rPr>
                <w:rFonts w:hint="default" w:ascii="Times New Roman" w:hAnsi="Times New Roman" w:eastAsia="宋体" w:cs="Times New Roman"/>
                <w:b/>
                <w:i w:val="0"/>
                <w:color w:val="auto"/>
                <w:sz w:val="32"/>
                <w:szCs w:val="32"/>
                <w:highlight w:val="none"/>
                <w:u w:val="none"/>
                <w:lang w:val="en-US" w:eastAsia="zh-CN"/>
              </w:rPr>
              <w:t>社科基地、资源数据库建设项目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41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主管部门及代码</w:t>
            </w:r>
          </w:p>
        </w:tc>
        <w:tc>
          <w:tcPr>
            <w:tcW w:w="44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rPr>
              <w:t>四川省社会科学界联合会</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实施单位</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rPr>
              <w:t>四川省社科联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80" w:hRule="atLeast"/>
        </w:trPr>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（万元）</w:t>
            </w:r>
          </w:p>
        </w:tc>
        <w:tc>
          <w:tcPr>
            <w:tcW w:w="2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 xml:space="preserve"> 预算数：</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303.84</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 xml:space="preserve"> 执行数：</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223.26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p>
        </w:tc>
        <w:tc>
          <w:tcPr>
            <w:tcW w:w="2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财政拨款</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303.84</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财政拨款</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223.26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335" w:hRule="atLeast"/>
        </w:trPr>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p>
        </w:tc>
        <w:tc>
          <w:tcPr>
            <w:tcW w:w="2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其他资金</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0</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其他资金</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360" w:hRule="atLeast"/>
        </w:trPr>
        <w:tc>
          <w:tcPr>
            <w:tcW w:w="2173"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年度绩效指标完成情况</w:t>
            </w:r>
          </w:p>
        </w:tc>
        <w:tc>
          <w:tcPr>
            <w:tcW w:w="4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预期目标</w:t>
            </w:r>
          </w:p>
        </w:tc>
        <w:tc>
          <w:tcPr>
            <w:tcW w:w="36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045" w:hRule="atLeast"/>
        </w:trPr>
        <w:tc>
          <w:tcPr>
            <w:tcW w:w="2173" w:type="dxa"/>
            <w:gridSpan w:val="2"/>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p>
        </w:tc>
        <w:tc>
          <w:tcPr>
            <w:tcW w:w="443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1.开展基地项目评审立项工作，以项目资助基地科研工作，推进基地培养高水平科研人才，推出高质量的科研成果，打造省内一流乃至国内一流的研究基地。2.召开全省基地工作会，安排部署下一年基地工作，组织基地主任或相关的管理人员和科研人员交流经验，总结提高，推动基地工作有序开展。3.赴省内外调研基地建设工作，学习先进管理经验，根据我省实际健全改进基地管理工作。</w:t>
            </w:r>
          </w:p>
        </w:tc>
        <w:tc>
          <w:tcPr>
            <w:tcW w:w="360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开展基地项目评审立项工作，以项目资助基地科研工作，推进基地培养高水平科研人才，推出高质量的科研成果，打造省内一流乃至国内一流的研究基地。组织基地积极开展学习宣传贯彻党的十九届六中全会精神、参加五月社科活动月、服务地方经济社会发展和人民群众等活动。开展基地建设情况摸底调研，推动基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2173" w:type="dxa"/>
            <w:gridSpan w:val="2"/>
            <w:vMerge w:val="restart"/>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35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一级指标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二级指标</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三级指标</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预期指标值</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700" w:hRule="atLeast"/>
        </w:trPr>
        <w:tc>
          <w:tcPr>
            <w:tcW w:w="2173" w:type="dxa"/>
            <w:gridSpan w:val="2"/>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数量指标</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完成省级社科重点基地课题项目立项、评审和经费资助</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75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90" w:hRule="atLeast"/>
        </w:trPr>
        <w:tc>
          <w:tcPr>
            <w:tcW w:w="2173" w:type="dxa"/>
            <w:gridSpan w:val="2"/>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质量指标</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推进社科重点研究基地研究能力，培养人才、推出成果、服务社会</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获得国家社科基金项目</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获得国家社科基金项目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2173" w:type="dxa"/>
            <w:gridSpan w:val="2"/>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开展高质量科普宣传活动</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全年参加宣传活动人数≥10000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全年参加宣传活动人数≥10000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2173" w:type="dxa"/>
            <w:gridSpan w:val="2"/>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时效指标</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项目按期完成时限</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2021年12月30日前</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2021年12月30日前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430" w:hRule="atLeast"/>
        </w:trPr>
        <w:tc>
          <w:tcPr>
            <w:tcW w:w="2173" w:type="dxa"/>
            <w:gridSpan w:val="2"/>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成本指标</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475" w:hRule="atLeast"/>
        </w:trPr>
        <w:tc>
          <w:tcPr>
            <w:tcW w:w="2173" w:type="dxa"/>
            <w:gridSpan w:val="2"/>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效</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经济效益指标</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2173" w:type="dxa"/>
            <w:gridSpan w:val="2"/>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社会效益指标</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促进科普基地能力提升</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进一步丰富全省科普基地活动开展方式和平台</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通过“科普活动月”、“三下乡”、举办专场讲座等多种多样的形式提升科普基地的科普效力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55" w:hRule="atLeast"/>
        </w:trPr>
        <w:tc>
          <w:tcPr>
            <w:tcW w:w="2173"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生态效益指标</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580" w:hRule="atLeast"/>
        </w:trPr>
        <w:tc>
          <w:tcPr>
            <w:tcW w:w="2173"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sz w:val="18"/>
                <w:szCs w:val="18"/>
                <w:highlight w:val="none"/>
                <w:u w:val="none"/>
                <w:lang w:val="en-US" w:eastAsia="zh-CN"/>
              </w:rPr>
              <w:t>可持续影响指标</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rPr>
            </w:pPr>
          </w:p>
        </w:tc>
      </w:tr>
    </w:tbl>
    <w:p>
      <w:pPr>
        <w:keepNext w:val="0"/>
        <w:keepLines w:val="0"/>
        <w:pageBreakBefore w:val="0"/>
        <w:widowControl/>
        <w:kinsoku/>
        <w:wordWrap/>
        <w:overflowPunct/>
        <w:topLinePunct w:val="0"/>
        <w:autoSpaceDE/>
        <w:autoSpaceDN/>
        <w:bidi w:val="0"/>
        <w:adjustRightInd w:val="0"/>
        <w:snapToGrid w:val="0"/>
        <w:spacing w:afterAutospacing="0" w:line="260" w:lineRule="exact"/>
        <w:ind w:firstLine="640" w:firstLineChars="200"/>
        <w:contextualSpacing/>
        <w:jc w:val="center"/>
        <w:textAlignment w:val="auto"/>
        <w:rPr>
          <w:rFonts w:hint="default" w:ascii="Times New Roman" w:hAnsi="Times New Roman" w:eastAsia="仿宋_GB2312" w:cs="Times New Roman"/>
          <w:b w:val="0"/>
          <w:bCs w:val="0"/>
          <w:color w:val="auto"/>
          <w:kern w:val="0"/>
          <w:sz w:val="32"/>
          <w:szCs w:val="32"/>
          <w:highlight w:val="none"/>
          <w:shd w:val="clear" w:color="auto" w:fill="FFFFFF"/>
          <w:lang w:val="zh-CN"/>
        </w:rPr>
      </w:pPr>
    </w:p>
    <w:p>
      <w:pPr>
        <w:pStyle w:val="2"/>
        <w:rPr>
          <w:rFonts w:hint="default" w:ascii="Times New Roman" w:hAnsi="Times New Roman" w:eastAsia="仿宋_GB2312" w:cs="Times New Roman"/>
          <w:b w:val="0"/>
          <w:bCs w:val="0"/>
          <w:color w:val="auto"/>
          <w:kern w:val="0"/>
          <w:sz w:val="32"/>
          <w:szCs w:val="32"/>
          <w:highlight w:val="none"/>
          <w:shd w:val="clear" w:color="auto" w:fill="FFFFFF"/>
          <w:lang w:val="zh-CN"/>
        </w:rPr>
      </w:pPr>
    </w:p>
    <w:tbl>
      <w:tblPr>
        <w:tblStyle w:val="14"/>
        <w:tblpPr w:leftFromText="180" w:rightFromText="180" w:vertAnchor="text" w:horzAnchor="page" w:tblpX="1281" w:tblpY="660"/>
        <w:tblOverlap w:val="never"/>
        <w:tblW w:w="10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8"/>
        <w:gridCol w:w="416"/>
        <w:gridCol w:w="2270"/>
        <w:gridCol w:w="327"/>
        <w:gridCol w:w="1242"/>
        <w:gridCol w:w="541"/>
        <w:gridCol w:w="683"/>
        <w:gridCol w:w="472"/>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0279" w:type="dxa"/>
            <w:gridSpan w:val="9"/>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default" w:ascii="Times New Roman" w:hAnsi="Times New Roman" w:eastAsia="宋体" w:cs="Times New Roman"/>
                <w:b/>
                <w:i w:val="0"/>
                <w:color w:val="auto"/>
                <w:sz w:val="32"/>
                <w:szCs w:val="32"/>
                <w:highlight w:val="none"/>
                <w:u w:val="none"/>
              </w:rPr>
            </w:pPr>
            <w:r>
              <w:rPr>
                <w:rFonts w:hint="default" w:ascii="Times New Roman" w:hAnsi="Times New Roman" w:eastAsia="宋体" w:cs="Times New Roman"/>
                <w:b/>
                <w:i w:val="0"/>
                <w:color w:val="auto"/>
                <w:sz w:val="32"/>
                <w:szCs w:val="32"/>
                <w:highlight w:val="none"/>
                <w:u w:val="none"/>
                <w:lang w:val="en-US" w:eastAsia="zh-CN"/>
              </w:rPr>
              <w:t>2021年100万元以上（含）特定目标类部门预算项目绩效目标自评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279"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auto"/>
                <w:sz w:val="32"/>
                <w:szCs w:val="32"/>
                <w:highlight w:val="none"/>
                <w:u w:val="none"/>
                <w:lang w:val="en-US" w:eastAsia="zh-CN"/>
              </w:rPr>
            </w:pPr>
            <w:r>
              <w:rPr>
                <w:rFonts w:hint="default" w:ascii="Times New Roman" w:hAnsi="Times New Roman" w:eastAsia="宋体" w:cs="Times New Roman"/>
                <w:b/>
                <w:i w:val="0"/>
                <w:color w:val="auto"/>
                <w:sz w:val="32"/>
                <w:szCs w:val="32"/>
                <w:highlight w:val="none"/>
                <w:u w:val="none"/>
                <w:lang w:val="en-US" w:eastAsia="zh-CN"/>
              </w:rPr>
              <w:t>社科优秀成果奖评奖经费</w:t>
            </w:r>
            <w:r>
              <w:rPr>
                <w:rFonts w:hint="default" w:ascii="Times New Roman" w:hAnsi="Times New Roman" w:cs="Times New Roman"/>
                <w:b/>
                <w:i w:val="0"/>
                <w:color w:val="auto"/>
                <w:sz w:val="32"/>
                <w:szCs w:val="32"/>
                <w:highlight w:val="none"/>
                <w:u w:val="none"/>
                <w:lang w:val="en-US" w:eastAsia="zh-CN"/>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主管部门及代码</w:t>
            </w:r>
          </w:p>
        </w:tc>
        <w:tc>
          <w:tcPr>
            <w:tcW w:w="4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四川省社会科学界联合会</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实施单位</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四川省社科联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（万元）</w:t>
            </w:r>
          </w:p>
        </w:tc>
        <w:tc>
          <w:tcPr>
            <w:tcW w:w="3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预算数：</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720</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执行数：</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667.93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其中：财政拨款</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720</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其中：财政拨款</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667.93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其他资金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0</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其他资金</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总</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体</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目</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情</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况</w:t>
            </w:r>
          </w:p>
        </w:tc>
        <w:tc>
          <w:tcPr>
            <w:tcW w:w="4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预期目标</w:t>
            </w:r>
          </w:p>
        </w:tc>
        <w:tc>
          <w:tcPr>
            <w:tcW w:w="4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4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1.在省评奖委员会领导下，组织开展四川省第十九次社会科学优秀成果奖的学科组评审、省外复审、省内复审、省评奖委员会终审及公告等评奖工作。</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2.报请省委省政府领导召开颁奖大会，对获奖成果作者予以表彰奖励。</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3.深入贯彻习近平新时代中国特色社会主义思想，根据相关文件要求，启动《四川省社会科学优秀成果评奖办法》的修订工作，赴省内外开展专题调研，召开专家咨询会和专题会议。                                                                                            4.对获奖成果进行宣传推广，促进成果转化，印制第十八次社会科学评奖获奖成果目录及资料汇编，向社科界宣传发放。</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5.进一步加强社科评奖的信息化建设，对评奖成果进行整理统计分析。</w:t>
            </w:r>
          </w:p>
        </w:tc>
        <w:tc>
          <w:tcPr>
            <w:tcW w:w="4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在省评奖委员会领导下，组织开展四川省第十九次社会科学优秀成果奖的学科组评审、省外复审、省内复审、省评奖委员会终审及公告等评奖工作。省第十九次社科奖颁奖大会隆重召开，对获奖成果作者予以表彰奖励。</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深入贯彻习近平新时代中国特色社会主义思想，启动《四川省社会科学优秀成果评奖办法》的修订工作，已纳入四川省2021年立法计划，赴省内外开展专题调研，召开专家咨询会和专题会议。联合四川日报等媒体对获奖成果及专家学者进行宣传推广，印制第十八次社会科学评奖获奖成果目录，促进成果宣传及转化。进一步加强社科评奖的信息化建设，对评奖成果进行整理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6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年度绩效指标完成情况</w:t>
            </w:r>
          </w:p>
        </w:tc>
        <w:tc>
          <w:tcPr>
            <w:tcW w:w="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一级指标</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二级指标</w:t>
            </w: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三级指标</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预期指标值</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8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标</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数量指标</w:t>
            </w: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第十九次社科评奖奖项</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400项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88"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质量指标</w:t>
            </w: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近两年的省级社科规划立项课题中的优秀成果</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400项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88"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时效指标</w:t>
            </w: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完成时间</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2021年12月30日前</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2021年11月完成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688"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成本指标</w:t>
            </w: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688"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效</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标</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经济效益指标</w:t>
            </w: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1688"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社会效益指标</w:t>
            </w: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提升我省社科研究水平，扩大社科工作影响力，推动学科及人才队伍建设</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对省社科研究优秀成果予以表彰奖励，极大地鼓舞了全省社科研究者的研究积极性，推动了学科及人才队伍建设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688"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生态效益指标</w:t>
            </w: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88"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可持续影响指标</w:t>
            </w: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68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满</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意</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度</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指</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标</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满意度指标</w:t>
            </w: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宋体" w:cs="Times New Roman"/>
                <w:i w:val="0"/>
                <w:color w:val="auto"/>
                <w:sz w:val="18"/>
                <w:szCs w:val="18"/>
                <w:highlight w:val="none"/>
                <w:u w:val="none"/>
                <w:lang w:val="en-US" w:eastAsia="zh-CN"/>
              </w:rPr>
            </w:pPr>
          </w:p>
        </w:tc>
      </w:tr>
    </w:tbl>
    <w:p>
      <w:pPr>
        <w:pStyle w:val="2"/>
        <w:rPr>
          <w:rFonts w:hint="default" w:ascii="Times New Roman" w:hAnsi="Times New Roman" w:eastAsia="仿宋_GB2312" w:cs="Times New Roman"/>
          <w:b w:val="0"/>
          <w:bCs w:val="0"/>
          <w:color w:val="auto"/>
          <w:kern w:val="0"/>
          <w:sz w:val="32"/>
          <w:szCs w:val="32"/>
          <w:highlight w:val="none"/>
          <w:shd w:val="clear" w:color="auto" w:fill="FFFFFF"/>
          <w:lang w:val="zh-CN"/>
        </w:rPr>
      </w:pPr>
    </w:p>
    <w:tbl>
      <w:tblPr>
        <w:tblStyle w:val="14"/>
        <w:tblpPr w:leftFromText="180" w:rightFromText="180" w:vertAnchor="text" w:horzAnchor="page" w:tblpX="1281" w:tblpY="660"/>
        <w:tblOverlap w:val="never"/>
        <w:tblW w:w="9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4"/>
        <w:gridCol w:w="375"/>
        <w:gridCol w:w="2311"/>
        <w:gridCol w:w="451"/>
        <w:gridCol w:w="1242"/>
        <w:gridCol w:w="1224"/>
        <w:gridCol w:w="348"/>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9925" w:type="dxa"/>
            <w:gridSpan w:val="8"/>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default" w:ascii="Times New Roman" w:hAnsi="Times New Roman" w:eastAsia="宋体" w:cs="Times New Roman"/>
                <w:b/>
                <w:i w:val="0"/>
                <w:color w:val="auto"/>
                <w:sz w:val="32"/>
                <w:szCs w:val="32"/>
                <w:highlight w:val="none"/>
                <w:u w:val="none"/>
              </w:rPr>
            </w:pPr>
            <w:r>
              <w:rPr>
                <w:rFonts w:hint="default" w:ascii="Times New Roman" w:hAnsi="Times New Roman" w:eastAsia="宋体" w:cs="Times New Roman"/>
                <w:b/>
                <w:i w:val="0"/>
                <w:color w:val="auto"/>
                <w:sz w:val="32"/>
                <w:szCs w:val="32"/>
                <w:highlight w:val="none"/>
                <w:u w:val="none"/>
                <w:lang w:val="en-US" w:eastAsia="zh-CN"/>
              </w:rPr>
              <w:t>2021年100万元以上（含）特定目标类部门预算项目绩效目标自评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trPr>
        <w:tc>
          <w:tcPr>
            <w:tcW w:w="9925"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auto"/>
                <w:sz w:val="32"/>
                <w:szCs w:val="32"/>
                <w:highlight w:val="none"/>
                <w:u w:val="none"/>
                <w:lang w:val="en-US" w:eastAsia="zh-CN"/>
              </w:rPr>
            </w:pPr>
            <w:r>
              <w:rPr>
                <w:rFonts w:hint="default" w:ascii="Times New Roman" w:hAnsi="Times New Roman" w:eastAsia="宋体" w:cs="Times New Roman"/>
                <w:b/>
                <w:i w:val="0"/>
                <w:color w:val="auto"/>
                <w:sz w:val="32"/>
                <w:szCs w:val="32"/>
                <w:highlight w:val="none"/>
                <w:u w:val="none"/>
                <w:lang w:val="en-US" w:eastAsia="zh-CN"/>
              </w:rPr>
              <w:t>省社科馆运行维护经费</w:t>
            </w:r>
            <w:r>
              <w:rPr>
                <w:rFonts w:hint="default" w:ascii="Times New Roman" w:hAnsi="Times New Roman" w:cs="Times New Roman"/>
                <w:b/>
                <w:i w:val="0"/>
                <w:color w:val="auto"/>
                <w:sz w:val="32"/>
                <w:szCs w:val="32"/>
                <w:highlight w:val="none"/>
                <w:u w:val="none"/>
                <w:lang w:val="en-US" w:eastAsia="zh-CN"/>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4"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主管部门及代码</w:t>
            </w:r>
          </w:p>
        </w:tc>
        <w:tc>
          <w:tcPr>
            <w:tcW w:w="4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四川省社会科学界联合会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实施单位</w:t>
            </w:r>
          </w:p>
        </w:tc>
        <w:tc>
          <w:tcPr>
            <w:tcW w:w="2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四川省社科联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1" w:hRule="atLeast"/>
        </w:trPr>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（万元）</w:t>
            </w:r>
          </w:p>
        </w:tc>
        <w:tc>
          <w:tcPr>
            <w:tcW w:w="3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预算数：</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574.0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执行数：</w:t>
            </w:r>
          </w:p>
        </w:tc>
        <w:tc>
          <w:tcPr>
            <w:tcW w:w="2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375.2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trPr>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其中：财政拨款</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574.0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其中：财政拨款</w:t>
            </w:r>
          </w:p>
        </w:tc>
        <w:tc>
          <w:tcPr>
            <w:tcW w:w="2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375.2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1" w:hRule="atLeast"/>
        </w:trPr>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其他资金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其他资金</w:t>
            </w:r>
          </w:p>
        </w:tc>
        <w:tc>
          <w:tcPr>
            <w:tcW w:w="2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7" w:hRule="atLeast"/>
        </w:trPr>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总</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体</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目</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情</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况</w:t>
            </w:r>
          </w:p>
        </w:tc>
        <w:tc>
          <w:tcPr>
            <w:tcW w:w="4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预期目标</w:t>
            </w:r>
          </w:p>
        </w:tc>
        <w:tc>
          <w:tcPr>
            <w:tcW w:w="3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7" w:hRule="atLeast"/>
        </w:trPr>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43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四川社科馆集社科成果展示、社科知识传播、社科学术交流与研讨以及社科资源储藏于一体，是推动我省哲学社会科学持续繁荣的理论研究平台、学术交流平台和人才培养平台，具有提高人民群众人文社科素质的展示功能和哲学社会科学知识的普及教育功能。通过四川社科馆的正常运行，将进一步加大四川公共文化产品的供给力度，满足社会大众对以社会科学为核心的文化需求，整体提升四川文化软实力。</w:t>
            </w:r>
          </w:p>
        </w:tc>
        <w:tc>
          <w:tcPr>
            <w:tcW w:w="3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四川社科馆开展了社会科学方面的交流、展示以及社科资源的储藏等部分活动，加强了对四川社科馆使用功能的完善，保障了社科馆运行的安全。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3" w:hRule="atLeast"/>
        </w:trPr>
        <w:tc>
          <w:tcPr>
            <w:tcW w:w="15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年度绩效指标完成情况</w:t>
            </w:r>
          </w:p>
        </w:tc>
        <w:tc>
          <w:tcPr>
            <w:tcW w:w="3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一级指标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二级指标</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三级指标</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56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标</w:t>
            </w:r>
          </w:p>
        </w:tc>
        <w:tc>
          <w:tcPr>
            <w:tcW w:w="2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数量指标</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社科馆日常维护、园林绿化、供热供水、消防系统、网络覆盖等投入后的正常使用</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社科馆正常运行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社科馆正常运行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56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免费开放3000平方左右的公共场馆</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3000平方米</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3000平方米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56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免费覆盖社科馆5G网络</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29800平方米</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29800平方米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56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免费开放社会科学普及展</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1个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56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馆藏历年来社科重要成果</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20000册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完成部分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56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质量指标</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保障社科馆的正常运行</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运行率100%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安全运行率100%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7" w:hRule="atLeast"/>
        </w:trPr>
        <w:tc>
          <w:tcPr>
            <w:tcW w:w="156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时效指标</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项目指标按期完成率为100%</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12月30日前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12月30日前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56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成本指标</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0" w:hRule="atLeast"/>
        </w:trPr>
        <w:tc>
          <w:tcPr>
            <w:tcW w:w="1564"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效</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经济效益指标</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r>
    </w:tbl>
    <w:p>
      <w:pPr>
        <w:pStyle w:val="2"/>
        <w:rPr>
          <w:rFonts w:hint="default" w:ascii="Times New Roman" w:hAnsi="Times New Roman" w:eastAsia="仿宋_GB2312" w:cs="Times New Roman"/>
          <w:b w:val="0"/>
          <w:bCs w:val="0"/>
          <w:color w:val="auto"/>
          <w:kern w:val="0"/>
          <w:sz w:val="32"/>
          <w:szCs w:val="32"/>
          <w:highlight w:val="none"/>
          <w:shd w:val="clear" w:color="auto" w:fill="FFFFFF"/>
          <w:lang w:val="zh-CN"/>
        </w:rPr>
      </w:pPr>
    </w:p>
    <w:p>
      <w:pPr>
        <w:pStyle w:val="2"/>
        <w:rPr>
          <w:rFonts w:hint="default" w:ascii="Times New Roman" w:hAnsi="Times New Roman" w:eastAsia="仿宋_GB2312" w:cs="Times New Roman"/>
          <w:b w:val="0"/>
          <w:bCs w:val="0"/>
          <w:color w:val="auto"/>
          <w:kern w:val="0"/>
          <w:sz w:val="32"/>
          <w:szCs w:val="32"/>
          <w:highlight w:val="none"/>
          <w:shd w:val="clear" w:color="auto" w:fill="FFFFFF"/>
          <w:lang w:val="zh-CN"/>
        </w:rPr>
      </w:pPr>
    </w:p>
    <w:tbl>
      <w:tblPr>
        <w:tblStyle w:val="14"/>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4"/>
        <w:gridCol w:w="375"/>
        <w:gridCol w:w="2259"/>
        <w:gridCol w:w="563"/>
        <w:gridCol w:w="1242"/>
        <w:gridCol w:w="1224"/>
        <w:gridCol w:w="236"/>
        <w:gridCol w:w="2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9577" w:type="dxa"/>
            <w:gridSpan w:val="8"/>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default" w:ascii="Times New Roman" w:hAnsi="Times New Roman" w:eastAsia="宋体" w:cs="Times New Roman"/>
                <w:b/>
                <w:i w:val="0"/>
                <w:color w:val="auto"/>
                <w:sz w:val="32"/>
                <w:szCs w:val="32"/>
                <w:highlight w:val="none"/>
                <w:u w:val="none"/>
              </w:rPr>
            </w:pPr>
            <w:r>
              <w:rPr>
                <w:rFonts w:hint="default" w:ascii="Times New Roman" w:hAnsi="Times New Roman" w:eastAsia="宋体" w:cs="Times New Roman"/>
                <w:b/>
                <w:i w:val="0"/>
                <w:color w:val="auto"/>
                <w:sz w:val="32"/>
                <w:szCs w:val="32"/>
                <w:highlight w:val="none"/>
                <w:u w:val="none"/>
                <w:lang w:val="en-US" w:eastAsia="zh-CN"/>
              </w:rPr>
              <w:t>2021年100万元以上（含）特定目标类部门预算项目绩效目标自评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trPr>
        <w:tc>
          <w:tcPr>
            <w:tcW w:w="9577"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auto"/>
                <w:sz w:val="32"/>
                <w:szCs w:val="32"/>
                <w:highlight w:val="none"/>
                <w:u w:val="none"/>
                <w:lang w:val="en-US" w:eastAsia="zh-CN"/>
              </w:rPr>
            </w:pPr>
            <w:r>
              <w:rPr>
                <w:rFonts w:hint="default" w:ascii="Times New Roman" w:hAnsi="Times New Roman" w:eastAsia="宋体" w:cs="Times New Roman"/>
                <w:b/>
                <w:i w:val="0"/>
                <w:color w:val="auto"/>
                <w:sz w:val="32"/>
                <w:szCs w:val="32"/>
                <w:highlight w:val="none"/>
                <w:u w:val="none"/>
                <w:lang w:val="en-US" w:eastAsia="zh-CN"/>
              </w:rPr>
              <w:t>继续实施项目_四川社会科学馆项目建设资金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4"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主管部门及代码</w:t>
            </w:r>
          </w:p>
        </w:tc>
        <w:tc>
          <w:tcPr>
            <w:tcW w:w="4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四川省社会科学界联合会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实施单位</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四川省社科联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1" w:hRule="atLeast"/>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（万元）</w:t>
            </w:r>
          </w:p>
        </w:tc>
        <w:tc>
          <w:tcPr>
            <w:tcW w:w="3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预算数：</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213.0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执行数：</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其中：财政拨款</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213.0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其中：财政拨款</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1" w:hRule="atLeast"/>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其他资金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其他资金</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7" w:hRule="atLeast"/>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总</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体</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目</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情</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况</w:t>
            </w:r>
          </w:p>
        </w:tc>
        <w:tc>
          <w:tcPr>
            <w:tcW w:w="4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预期目标</w:t>
            </w:r>
          </w:p>
        </w:tc>
        <w:tc>
          <w:tcPr>
            <w:tcW w:w="3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7" w:hRule="atLeast"/>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4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四川社科馆正常运行</w:t>
            </w:r>
          </w:p>
        </w:tc>
        <w:tc>
          <w:tcPr>
            <w:tcW w:w="3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四川社会科学馆已正常运行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3" w:hRule="atLeast"/>
        </w:trPr>
        <w:tc>
          <w:tcPr>
            <w:tcW w:w="15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年度绩效指标完成情况</w:t>
            </w:r>
          </w:p>
        </w:tc>
        <w:tc>
          <w:tcPr>
            <w:tcW w:w="3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一级指标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二级指标</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三级指标</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预期指标值</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50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标</w:t>
            </w:r>
          </w:p>
        </w:tc>
        <w:tc>
          <w:tcPr>
            <w:tcW w:w="2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数量指标</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完成家具供货</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1</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50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完成窗帘供货</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1</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50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质量指标</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完成安装并验收合格</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1</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50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时效指标</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完成时间</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2021年12月30日</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50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成本指标</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50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效</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经济效益指标</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7" w:hRule="atLeast"/>
        </w:trPr>
        <w:tc>
          <w:tcPr>
            <w:tcW w:w="150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社会效益指标</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实现社科成果的归纳、储藏、管理、研究、交流，</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实现了社科成果的归纳、集藏、管理和研究、交流。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504"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生态效益指标</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0" w:hRule="atLeast"/>
        </w:trPr>
        <w:tc>
          <w:tcPr>
            <w:tcW w:w="1504"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r>
              <w:rPr>
                <w:rFonts w:hint="default" w:ascii="Times New Roman" w:hAnsi="Times New Roman" w:eastAsia="宋体" w:cs="Times New Roman"/>
                <w:i w:val="0"/>
                <w:color w:val="auto"/>
                <w:sz w:val="18"/>
                <w:szCs w:val="18"/>
                <w:highlight w:val="none"/>
                <w:u w:val="none"/>
                <w:lang w:val="en-US" w:eastAsia="zh-CN"/>
              </w:rPr>
              <w:t>可持续影响指标</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宋体" w:cs="Times New Roman"/>
                <w:i w:val="0"/>
                <w:color w:val="auto"/>
                <w:sz w:val="18"/>
                <w:szCs w:val="18"/>
                <w:highlight w:val="none"/>
                <w:u w:val="none"/>
                <w:lang w:val="en-US" w:eastAsia="zh-CN"/>
              </w:rPr>
            </w:pP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zh-CN"/>
        </w:rPr>
      </w:pPr>
    </w:p>
    <w:p>
      <w:pPr>
        <w:keepNext w:val="0"/>
        <w:keepLines w:val="0"/>
        <w:pageBreakBefore w:val="0"/>
        <w:widowControl w:val="0"/>
        <w:kinsoku/>
        <w:wordWrap/>
        <w:overflowPunct/>
        <w:topLinePunct w:val="0"/>
        <w:autoSpaceDE/>
        <w:autoSpaceDN/>
        <w:bidi w:val="0"/>
        <w:adjustRightInd/>
        <w:spacing w:line="580" w:lineRule="exact"/>
        <w:ind w:left="0" w:leftChars="0" w:right="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spacing w:after="0" w:line="580" w:lineRule="exact"/>
        <w:ind w:left="0" w:leftChars="0" w:right="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w:t>
      </w:r>
    </w:p>
    <w:p>
      <w:pPr>
        <w:spacing w:line="600" w:lineRule="exact"/>
        <w:jc w:val="center"/>
        <w:outlineLvl w:val="0"/>
        <w:rPr>
          <w:rFonts w:hint="default" w:ascii="Times New Roman" w:hAnsi="Times New Roman" w:eastAsia="仿宋" w:cs="Times New Roman"/>
          <w:b w:val="0"/>
          <w:color w:val="auto"/>
          <w:highlight w:val="none"/>
        </w:rPr>
      </w:pPr>
      <w:bookmarkStart w:id="51" w:name="_Toc15396618"/>
      <w:r>
        <w:rPr>
          <w:rFonts w:hint="default" w:ascii="Times New Roman" w:hAnsi="Times New Roman" w:eastAsia="黑体" w:cs="Times New Roman"/>
          <w:color w:val="auto"/>
          <w:sz w:val="44"/>
          <w:szCs w:val="44"/>
          <w:highlight w:val="none"/>
        </w:rPr>
        <w:t>第</w:t>
      </w:r>
      <w:r>
        <w:rPr>
          <w:rStyle w:val="26"/>
          <w:rFonts w:hint="default" w:ascii="Times New Roman" w:hAnsi="Times New Roman" w:eastAsia="黑体" w:cs="Times New Roman"/>
          <w:b w:val="0"/>
          <w:color w:val="auto"/>
          <w:highlight w:val="none"/>
        </w:rPr>
        <w:t>五部分 附表</w:t>
      </w:r>
      <w:bookmarkEnd w:id="51"/>
      <w:bookmarkStart w:id="52" w:name="_Toc15396619"/>
    </w:p>
    <w:p>
      <w:pPr>
        <w:pStyle w:val="4"/>
        <w:rPr>
          <w:rFonts w:hint="default" w:ascii="Times New Roman" w:hAnsi="Times New Roman" w:eastAsia="仿宋" w:cs="Times New Roman"/>
          <w:color w:val="auto"/>
          <w:highlight w:val="none"/>
        </w:rPr>
      </w:pPr>
      <w:r>
        <w:rPr>
          <w:rFonts w:hint="default" w:ascii="Times New Roman" w:hAnsi="Times New Roman" w:eastAsia="仿宋" w:cs="Times New Roman"/>
          <w:b w:val="0"/>
          <w:color w:val="auto"/>
          <w:highlight w:val="none"/>
        </w:rPr>
        <w:t>一、收</w:t>
      </w:r>
      <w:r>
        <w:rPr>
          <w:rStyle w:val="27"/>
          <w:rFonts w:hint="default" w:ascii="Times New Roman" w:hAnsi="Times New Roman" w:eastAsia="仿宋" w:cs="Times New Roman"/>
          <w:b w:val="0"/>
          <w:bCs w:val="0"/>
          <w:color w:val="auto"/>
          <w:highlight w:val="none"/>
        </w:rPr>
        <w:t>入支出决算总表</w:t>
      </w:r>
      <w:bookmarkEnd w:id="52"/>
    </w:p>
    <w:p>
      <w:pPr>
        <w:pStyle w:val="4"/>
        <w:rPr>
          <w:rFonts w:hint="default" w:ascii="Times New Roman" w:hAnsi="Times New Roman" w:eastAsia="仿宋" w:cs="Times New Roman"/>
          <w:color w:val="auto"/>
          <w:highlight w:val="none"/>
        </w:rPr>
      </w:pPr>
      <w:bookmarkStart w:id="53" w:name="_Toc15396620"/>
      <w:r>
        <w:rPr>
          <w:rFonts w:hint="default" w:ascii="Times New Roman" w:hAnsi="Times New Roman" w:eastAsia="仿宋" w:cs="Times New Roman"/>
          <w:b w:val="0"/>
          <w:color w:val="auto"/>
          <w:highlight w:val="none"/>
        </w:rPr>
        <w:t>二、收</w:t>
      </w:r>
      <w:r>
        <w:rPr>
          <w:rStyle w:val="27"/>
          <w:rFonts w:hint="default" w:ascii="Times New Roman" w:hAnsi="Times New Roman" w:eastAsia="仿宋" w:cs="Times New Roman"/>
          <w:b w:val="0"/>
          <w:bCs w:val="0"/>
          <w:color w:val="auto"/>
          <w:highlight w:val="none"/>
        </w:rPr>
        <w:t>入决算表</w:t>
      </w:r>
      <w:bookmarkEnd w:id="53"/>
    </w:p>
    <w:p>
      <w:pPr>
        <w:pStyle w:val="4"/>
        <w:rPr>
          <w:rFonts w:hint="default" w:ascii="Times New Roman" w:hAnsi="Times New Roman" w:eastAsia="仿宋" w:cs="Times New Roman"/>
          <w:color w:val="auto"/>
          <w:highlight w:val="none"/>
        </w:rPr>
      </w:pPr>
      <w:bookmarkStart w:id="54" w:name="_Toc15396621"/>
      <w:r>
        <w:rPr>
          <w:rStyle w:val="27"/>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27"/>
          <w:rFonts w:hint="default" w:ascii="Times New Roman" w:hAnsi="Times New Roman" w:eastAsia="仿宋" w:cs="Times New Roman"/>
          <w:b w:val="0"/>
          <w:bCs w:val="0"/>
          <w:color w:val="auto"/>
          <w:highlight w:val="none"/>
        </w:rPr>
        <w:t>出决算表</w:t>
      </w:r>
      <w:bookmarkEnd w:id="54"/>
    </w:p>
    <w:p>
      <w:pPr>
        <w:pStyle w:val="4"/>
        <w:rPr>
          <w:rFonts w:hint="default" w:ascii="Times New Roman" w:hAnsi="Times New Roman" w:eastAsia="仿宋" w:cs="Times New Roman"/>
          <w:b w:val="0"/>
          <w:color w:val="auto"/>
          <w:highlight w:val="none"/>
        </w:rPr>
      </w:pPr>
      <w:bookmarkStart w:id="55" w:name="_Toc15396622"/>
      <w:r>
        <w:rPr>
          <w:rStyle w:val="27"/>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27"/>
          <w:rFonts w:hint="default" w:ascii="Times New Roman" w:hAnsi="Times New Roman" w:eastAsia="仿宋" w:cs="Times New Roman"/>
          <w:b w:val="0"/>
          <w:bCs w:val="0"/>
          <w:color w:val="auto"/>
          <w:highlight w:val="none"/>
        </w:rPr>
        <w:t>政拨款收入支出决算总表</w:t>
      </w:r>
      <w:bookmarkEnd w:id="55"/>
    </w:p>
    <w:p>
      <w:pPr>
        <w:pStyle w:val="4"/>
        <w:rPr>
          <w:rStyle w:val="27"/>
          <w:rFonts w:hint="default" w:ascii="Times New Roman" w:hAnsi="Times New Roman" w:eastAsia="仿宋" w:cs="Times New Roman"/>
          <w:b w:val="0"/>
          <w:bCs w:val="0"/>
          <w:color w:val="auto"/>
          <w:highlight w:val="none"/>
        </w:rPr>
      </w:pPr>
      <w:bookmarkStart w:id="56" w:name="_Toc15396623"/>
      <w:r>
        <w:rPr>
          <w:rStyle w:val="27"/>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27"/>
          <w:rFonts w:hint="default" w:ascii="Times New Roman" w:hAnsi="Times New Roman" w:eastAsia="仿宋" w:cs="Times New Roman"/>
          <w:b w:val="0"/>
          <w:bCs w:val="0"/>
          <w:color w:val="auto"/>
          <w:highlight w:val="none"/>
        </w:rPr>
        <w:t>政拨款支出决算明细表</w:t>
      </w:r>
      <w:bookmarkEnd w:id="56"/>
      <w:bookmarkStart w:id="57" w:name="_Toc15396624"/>
    </w:p>
    <w:p>
      <w:pPr>
        <w:pStyle w:val="4"/>
        <w:rPr>
          <w:rFonts w:hint="default" w:ascii="Times New Roman" w:hAnsi="Times New Roman" w:eastAsia="仿宋" w:cs="Times New Roman"/>
          <w:color w:val="auto"/>
          <w:highlight w:val="none"/>
        </w:rPr>
      </w:pPr>
      <w:r>
        <w:rPr>
          <w:rStyle w:val="27"/>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27"/>
          <w:rFonts w:hint="default" w:ascii="Times New Roman" w:hAnsi="Times New Roman" w:eastAsia="仿宋" w:cs="Times New Roman"/>
          <w:b w:val="0"/>
          <w:bCs w:val="0"/>
          <w:color w:val="auto"/>
          <w:highlight w:val="none"/>
        </w:rPr>
        <w:t>般公共预算财政拨款支出决算表</w:t>
      </w:r>
      <w:bookmarkEnd w:id="57"/>
    </w:p>
    <w:p>
      <w:pPr>
        <w:pStyle w:val="4"/>
        <w:rPr>
          <w:rFonts w:hint="default" w:ascii="Times New Roman" w:hAnsi="Times New Roman" w:eastAsia="仿宋" w:cs="Times New Roman"/>
          <w:color w:val="auto"/>
          <w:highlight w:val="none"/>
        </w:rPr>
      </w:pPr>
      <w:bookmarkStart w:id="58" w:name="_Toc15396625"/>
      <w:r>
        <w:rPr>
          <w:rStyle w:val="27"/>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27"/>
          <w:rFonts w:hint="default" w:ascii="Times New Roman" w:hAnsi="Times New Roman" w:eastAsia="仿宋" w:cs="Times New Roman"/>
          <w:b w:val="0"/>
          <w:bCs w:val="0"/>
          <w:color w:val="auto"/>
          <w:highlight w:val="none"/>
        </w:rPr>
        <w:t>般公共预算财政拨款支出决算明细表</w:t>
      </w:r>
      <w:bookmarkEnd w:id="58"/>
    </w:p>
    <w:p>
      <w:pPr>
        <w:pStyle w:val="4"/>
        <w:rPr>
          <w:rFonts w:hint="default" w:ascii="Times New Roman" w:hAnsi="Times New Roman" w:eastAsia="仿宋" w:cs="Times New Roman"/>
          <w:color w:val="auto"/>
          <w:highlight w:val="none"/>
        </w:rPr>
      </w:pPr>
      <w:bookmarkStart w:id="59" w:name="_Toc15396626"/>
      <w:r>
        <w:rPr>
          <w:rStyle w:val="27"/>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27"/>
          <w:rFonts w:hint="default" w:ascii="Times New Roman" w:hAnsi="Times New Roman" w:eastAsia="仿宋" w:cs="Times New Roman"/>
          <w:b w:val="0"/>
          <w:bCs w:val="0"/>
          <w:color w:val="auto"/>
          <w:highlight w:val="none"/>
        </w:rPr>
        <w:t>般公共预算财政拨款基本支出决算表</w:t>
      </w:r>
      <w:bookmarkEnd w:id="59"/>
    </w:p>
    <w:p>
      <w:pPr>
        <w:pStyle w:val="4"/>
        <w:rPr>
          <w:rFonts w:hint="default" w:ascii="Times New Roman" w:hAnsi="Times New Roman" w:eastAsia="仿宋" w:cs="Times New Roman"/>
          <w:color w:val="auto"/>
          <w:highlight w:val="none"/>
        </w:rPr>
      </w:pPr>
      <w:bookmarkStart w:id="60" w:name="_Toc15396627"/>
      <w:r>
        <w:rPr>
          <w:rStyle w:val="27"/>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27"/>
          <w:rFonts w:hint="default" w:ascii="Times New Roman" w:hAnsi="Times New Roman" w:eastAsia="仿宋" w:cs="Times New Roman"/>
          <w:b w:val="0"/>
          <w:bCs w:val="0"/>
          <w:color w:val="auto"/>
          <w:highlight w:val="none"/>
        </w:rPr>
        <w:t>般公共预算财政拨款项目支出决算表</w:t>
      </w:r>
      <w:bookmarkEnd w:id="60"/>
    </w:p>
    <w:p>
      <w:pPr>
        <w:pStyle w:val="4"/>
        <w:rPr>
          <w:rFonts w:hint="default" w:ascii="Times New Roman" w:hAnsi="Times New Roman" w:eastAsia="仿宋" w:cs="Times New Roman"/>
          <w:color w:val="auto"/>
          <w:highlight w:val="none"/>
        </w:rPr>
      </w:pPr>
      <w:bookmarkStart w:id="61" w:name="_Toc15396628"/>
      <w:r>
        <w:rPr>
          <w:rStyle w:val="27"/>
          <w:rFonts w:hint="default" w:ascii="Times New Roman" w:hAnsi="Times New Roman" w:eastAsia="仿宋" w:cs="Times New Roman"/>
          <w:b w:val="0"/>
          <w:bCs w:val="0"/>
          <w:color w:val="auto"/>
          <w:highlight w:val="none"/>
        </w:rPr>
        <w:t>十、</w:t>
      </w:r>
      <w:r>
        <w:rPr>
          <w:rFonts w:hint="default" w:ascii="Times New Roman" w:hAnsi="Times New Roman" w:eastAsia="仿宋" w:cs="Times New Roman"/>
          <w:b w:val="0"/>
          <w:color w:val="auto"/>
          <w:highlight w:val="none"/>
        </w:rPr>
        <w:t>一</w:t>
      </w:r>
      <w:r>
        <w:rPr>
          <w:rStyle w:val="27"/>
          <w:rFonts w:hint="default" w:ascii="Times New Roman" w:hAnsi="Times New Roman" w:eastAsia="仿宋" w:cs="Times New Roman"/>
          <w:b w:val="0"/>
          <w:bCs w:val="0"/>
          <w:color w:val="auto"/>
          <w:highlight w:val="none"/>
        </w:rPr>
        <w:t>般公共预算财政拨款“三公”经费支出决算表</w:t>
      </w:r>
      <w:bookmarkEnd w:id="61"/>
    </w:p>
    <w:p>
      <w:pPr>
        <w:pStyle w:val="4"/>
        <w:rPr>
          <w:rFonts w:hint="default" w:ascii="Times New Roman" w:hAnsi="Times New Roman" w:eastAsia="仿宋" w:cs="Times New Roman"/>
          <w:color w:val="auto"/>
          <w:highlight w:val="none"/>
        </w:rPr>
      </w:pPr>
      <w:bookmarkStart w:id="62" w:name="_Toc15396629"/>
      <w:r>
        <w:rPr>
          <w:rStyle w:val="27"/>
          <w:rFonts w:hint="default" w:ascii="Times New Roman" w:hAnsi="Times New Roman" w:eastAsia="仿宋" w:cs="Times New Roman"/>
          <w:b w:val="0"/>
          <w:bCs w:val="0"/>
          <w:color w:val="auto"/>
          <w:highlight w:val="none"/>
        </w:rPr>
        <w:t>十一、</w:t>
      </w:r>
      <w:r>
        <w:rPr>
          <w:rFonts w:hint="default" w:ascii="Times New Roman" w:hAnsi="Times New Roman" w:eastAsia="仿宋" w:cs="Times New Roman"/>
          <w:b w:val="0"/>
          <w:color w:val="auto"/>
          <w:highlight w:val="none"/>
        </w:rPr>
        <w:t>政</w:t>
      </w:r>
      <w:r>
        <w:rPr>
          <w:rStyle w:val="27"/>
          <w:rFonts w:hint="default" w:ascii="Times New Roman" w:hAnsi="Times New Roman" w:eastAsia="仿宋" w:cs="Times New Roman"/>
          <w:b w:val="0"/>
          <w:bCs w:val="0"/>
          <w:color w:val="auto"/>
          <w:highlight w:val="none"/>
        </w:rPr>
        <w:t>府性基金预算财政拨款收入支出决算表</w:t>
      </w:r>
      <w:bookmarkEnd w:id="62"/>
    </w:p>
    <w:p>
      <w:pPr>
        <w:pStyle w:val="4"/>
        <w:rPr>
          <w:rFonts w:hint="default" w:ascii="Times New Roman" w:hAnsi="Times New Roman" w:eastAsia="仿宋" w:cs="Times New Roman"/>
          <w:color w:val="auto"/>
          <w:highlight w:val="none"/>
        </w:rPr>
      </w:pPr>
      <w:bookmarkStart w:id="63" w:name="_Toc15396630"/>
      <w:r>
        <w:rPr>
          <w:rStyle w:val="27"/>
          <w:rFonts w:hint="default" w:ascii="Times New Roman" w:hAnsi="Times New Roman" w:eastAsia="仿宋" w:cs="Times New Roman"/>
          <w:b w:val="0"/>
          <w:bCs w:val="0"/>
          <w:color w:val="auto"/>
          <w:highlight w:val="none"/>
        </w:rPr>
        <w:t>十二、</w:t>
      </w:r>
      <w:r>
        <w:rPr>
          <w:rFonts w:hint="default" w:ascii="Times New Roman" w:hAnsi="Times New Roman" w:eastAsia="仿宋" w:cs="Times New Roman"/>
          <w:b w:val="0"/>
          <w:color w:val="auto"/>
          <w:highlight w:val="none"/>
        </w:rPr>
        <w:t>政</w:t>
      </w:r>
      <w:r>
        <w:rPr>
          <w:rStyle w:val="27"/>
          <w:rFonts w:hint="default" w:ascii="Times New Roman" w:hAnsi="Times New Roman" w:eastAsia="仿宋" w:cs="Times New Roman"/>
          <w:b w:val="0"/>
          <w:bCs w:val="0"/>
          <w:color w:val="auto"/>
          <w:highlight w:val="none"/>
        </w:rPr>
        <w:t>府性基金预算财政拨款“三公”经费支出决算表</w:t>
      </w:r>
      <w:bookmarkEnd w:id="63"/>
    </w:p>
    <w:p>
      <w:pPr>
        <w:pStyle w:val="4"/>
        <w:rPr>
          <w:rStyle w:val="27"/>
          <w:rFonts w:hint="default" w:ascii="Times New Roman" w:hAnsi="Times New Roman" w:eastAsia="仿宋" w:cs="Times New Roman"/>
          <w:b w:val="0"/>
          <w:bCs w:val="0"/>
          <w:color w:val="auto"/>
          <w:highlight w:val="none"/>
        </w:rPr>
      </w:pPr>
      <w:bookmarkStart w:id="64" w:name="_Toc15396631"/>
      <w:r>
        <w:rPr>
          <w:rStyle w:val="27"/>
          <w:rFonts w:hint="default" w:ascii="Times New Roman" w:hAnsi="Times New Roman" w:eastAsia="仿宋" w:cs="Times New Roman"/>
          <w:b w:val="0"/>
          <w:bCs w:val="0"/>
          <w:color w:val="auto"/>
          <w:highlight w:val="none"/>
        </w:rPr>
        <w:t>十三、</w:t>
      </w:r>
      <w:r>
        <w:rPr>
          <w:rFonts w:hint="default" w:ascii="Times New Roman" w:hAnsi="Times New Roman" w:eastAsia="仿宋" w:cs="Times New Roman"/>
          <w:b w:val="0"/>
          <w:color w:val="auto"/>
          <w:highlight w:val="none"/>
        </w:rPr>
        <w:t>国</w:t>
      </w:r>
      <w:r>
        <w:rPr>
          <w:rStyle w:val="27"/>
          <w:rFonts w:hint="default" w:ascii="Times New Roman" w:hAnsi="Times New Roman" w:eastAsia="仿宋" w:cs="Times New Roman"/>
          <w:b w:val="0"/>
          <w:bCs w:val="0"/>
          <w:color w:val="auto"/>
          <w:highlight w:val="none"/>
        </w:rPr>
        <w:t>有资本经营预算</w:t>
      </w:r>
      <w:r>
        <w:rPr>
          <w:rStyle w:val="27"/>
          <w:rFonts w:hint="default" w:ascii="Times New Roman" w:hAnsi="Times New Roman" w:eastAsia="仿宋" w:cs="Times New Roman"/>
          <w:b w:val="0"/>
          <w:bCs w:val="0"/>
          <w:color w:val="auto"/>
          <w:highlight w:val="none"/>
          <w:lang w:eastAsia="zh-CN"/>
        </w:rPr>
        <w:t>财政拨款收入</w:t>
      </w:r>
      <w:r>
        <w:rPr>
          <w:rStyle w:val="27"/>
          <w:rFonts w:hint="default" w:ascii="Times New Roman" w:hAnsi="Times New Roman" w:eastAsia="仿宋" w:cs="Times New Roman"/>
          <w:b w:val="0"/>
          <w:bCs w:val="0"/>
          <w:color w:val="auto"/>
          <w:highlight w:val="none"/>
        </w:rPr>
        <w:t>支出决算表</w:t>
      </w:r>
      <w:bookmarkEnd w:id="64"/>
    </w:p>
    <w:p>
      <w:pPr>
        <w:rPr>
          <w:rStyle w:val="27"/>
          <w:rFonts w:hint="default" w:ascii="Times New Roman" w:hAnsi="Times New Roman" w:eastAsia="仿宋" w:cs="Times New Roman"/>
          <w:b w:val="0"/>
          <w:bCs w:val="0"/>
        </w:rPr>
      </w:pPr>
      <w:r>
        <w:rPr>
          <w:rStyle w:val="27"/>
          <w:rFonts w:hint="default" w:ascii="Times New Roman" w:hAnsi="Times New Roman" w:eastAsia="仿宋" w:cs="Times New Roman"/>
          <w:b w:val="0"/>
          <w:bCs w:val="0"/>
          <w:color w:val="auto"/>
          <w:highlight w:val="none"/>
          <w:lang w:eastAsia="zh-CN"/>
        </w:rPr>
        <w:t>十四、国有资本经营预算财政拨款支出决算表</w:t>
      </w:r>
      <w:bookmarkEnd w:id="4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10"/>
      </w:pPr>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B3B0B23"/>
    <w:multiLevelType w:val="singleLevel"/>
    <w:tmpl w:val="EB3B0B23"/>
    <w:lvl w:ilvl="0" w:tentative="0">
      <w:start w:val="3"/>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VlMWI3N2E0NzliYjk5MzA3NGUyYmRkOWQxNThjNW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0BB8"/>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94BF8"/>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48B9"/>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5834"/>
    <w:rsid w:val="00767B7E"/>
    <w:rsid w:val="007770C3"/>
    <w:rsid w:val="00784D24"/>
    <w:rsid w:val="00785FBA"/>
    <w:rsid w:val="00786E4A"/>
    <w:rsid w:val="007875EB"/>
    <w:rsid w:val="0079426B"/>
    <w:rsid w:val="007C443D"/>
    <w:rsid w:val="007D1682"/>
    <w:rsid w:val="007D23C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3DA9"/>
    <w:rsid w:val="009B2C43"/>
    <w:rsid w:val="009B4EAE"/>
    <w:rsid w:val="009B7573"/>
    <w:rsid w:val="009C22F4"/>
    <w:rsid w:val="009C2A4B"/>
    <w:rsid w:val="009C2E98"/>
    <w:rsid w:val="009D3447"/>
    <w:rsid w:val="009D4711"/>
    <w:rsid w:val="009D7F81"/>
    <w:rsid w:val="009F1185"/>
    <w:rsid w:val="009F18CD"/>
    <w:rsid w:val="009F2A13"/>
    <w:rsid w:val="009F7527"/>
    <w:rsid w:val="00A04EB0"/>
    <w:rsid w:val="00A13CC1"/>
    <w:rsid w:val="00A16847"/>
    <w:rsid w:val="00A237D8"/>
    <w:rsid w:val="00A268C4"/>
    <w:rsid w:val="00A307CD"/>
    <w:rsid w:val="00A32F3C"/>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B78E5"/>
    <w:rsid w:val="00AC3C6A"/>
    <w:rsid w:val="00AD5620"/>
    <w:rsid w:val="00AD656B"/>
    <w:rsid w:val="00AD7C1B"/>
    <w:rsid w:val="00AE16BA"/>
    <w:rsid w:val="00AE1EBE"/>
    <w:rsid w:val="00AE6340"/>
    <w:rsid w:val="00B03C9D"/>
    <w:rsid w:val="00B060AE"/>
    <w:rsid w:val="00B10517"/>
    <w:rsid w:val="00B14E76"/>
    <w:rsid w:val="00B161B8"/>
    <w:rsid w:val="00B2048C"/>
    <w:rsid w:val="00B26CE6"/>
    <w:rsid w:val="00B310B9"/>
    <w:rsid w:val="00B35F3F"/>
    <w:rsid w:val="00B36CBB"/>
    <w:rsid w:val="00B425E0"/>
    <w:rsid w:val="00B440AA"/>
    <w:rsid w:val="00B44B70"/>
    <w:rsid w:val="00B53C56"/>
    <w:rsid w:val="00B57DAF"/>
    <w:rsid w:val="00B77EA6"/>
    <w:rsid w:val="00B81598"/>
    <w:rsid w:val="00B841F1"/>
    <w:rsid w:val="00B850D8"/>
    <w:rsid w:val="00B944D6"/>
    <w:rsid w:val="00BB4DF0"/>
    <w:rsid w:val="00BC289F"/>
    <w:rsid w:val="00BC2D50"/>
    <w:rsid w:val="00BC5361"/>
    <w:rsid w:val="00BC5460"/>
    <w:rsid w:val="00BC6B50"/>
    <w:rsid w:val="00BD0E25"/>
    <w:rsid w:val="00BF5BD6"/>
    <w:rsid w:val="00C03E31"/>
    <w:rsid w:val="00C26517"/>
    <w:rsid w:val="00C27E1A"/>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25D"/>
    <w:rsid w:val="00CD1E3F"/>
    <w:rsid w:val="00CE44F6"/>
    <w:rsid w:val="00CE49DA"/>
    <w:rsid w:val="00CE7B61"/>
    <w:rsid w:val="00D00095"/>
    <w:rsid w:val="00D114F0"/>
    <w:rsid w:val="00D17215"/>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6432"/>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E58FA"/>
    <w:rsid w:val="00FF1E02"/>
    <w:rsid w:val="00FF30B4"/>
    <w:rsid w:val="02EC6458"/>
    <w:rsid w:val="02FB7D8B"/>
    <w:rsid w:val="03EC115D"/>
    <w:rsid w:val="03F02558"/>
    <w:rsid w:val="0567598A"/>
    <w:rsid w:val="066E0107"/>
    <w:rsid w:val="06846DD2"/>
    <w:rsid w:val="07315D20"/>
    <w:rsid w:val="076936B5"/>
    <w:rsid w:val="07D61D71"/>
    <w:rsid w:val="07DD0333"/>
    <w:rsid w:val="095A6680"/>
    <w:rsid w:val="0A2032A3"/>
    <w:rsid w:val="0A660F2E"/>
    <w:rsid w:val="0A896EDB"/>
    <w:rsid w:val="0B156206"/>
    <w:rsid w:val="0B3E5498"/>
    <w:rsid w:val="0B444AC2"/>
    <w:rsid w:val="0C35352E"/>
    <w:rsid w:val="0C4E0264"/>
    <w:rsid w:val="0D4B7507"/>
    <w:rsid w:val="0D6B7A9A"/>
    <w:rsid w:val="0F303CD5"/>
    <w:rsid w:val="0F4D52DD"/>
    <w:rsid w:val="101860EC"/>
    <w:rsid w:val="10C055FF"/>
    <w:rsid w:val="10CB3FDA"/>
    <w:rsid w:val="112E7DE7"/>
    <w:rsid w:val="115059B0"/>
    <w:rsid w:val="118107EC"/>
    <w:rsid w:val="118873BB"/>
    <w:rsid w:val="118E400A"/>
    <w:rsid w:val="12777999"/>
    <w:rsid w:val="13A2077C"/>
    <w:rsid w:val="13CB65DB"/>
    <w:rsid w:val="14B843F3"/>
    <w:rsid w:val="152402AD"/>
    <w:rsid w:val="15324C4B"/>
    <w:rsid w:val="15AB5F04"/>
    <w:rsid w:val="16782B31"/>
    <w:rsid w:val="16BB723D"/>
    <w:rsid w:val="18310B01"/>
    <w:rsid w:val="194B0438"/>
    <w:rsid w:val="195C1388"/>
    <w:rsid w:val="19846F24"/>
    <w:rsid w:val="19905D68"/>
    <w:rsid w:val="19C55A4F"/>
    <w:rsid w:val="1A53565F"/>
    <w:rsid w:val="1AA771C8"/>
    <w:rsid w:val="1B5A7DEF"/>
    <w:rsid w:val="1BE8440E"/>
    <w:rsid w:val="1C7A3437"/>
    <w:rsid w:val="1CB27F64"/>
    <w:rsid w:val="1CDB0E87"/>
    <w:rsid w:val="1D155CEE"/>
    <w:rsid w:val="1E0B55AA"/>
    <w:rsid w:val="1FEA0D0A"/>
    <w:rsid w:val="20BD2896"/>
    <w:rsid w:val="212E15BF"/>
    <w:rsid w:val="226A0B8C"/>
    <w:rsid w:val="22B82F81"/>
    <w:rsid w:val="23297F79"/>
    <w:rsid w:val="233B2675"/>
    <w:rsid w:val="23860B96"/>
    <w:rsid w:val="23F4312F"/>
    <w:rsid w:val="24004311"/>
    <w:rsid w:val="240371BF"/>
    <w:rsid w:val="25782727"/>
    <w:rsid w:val="26F80B3D"/>
    <w:rsid w:val="27064AA3"/>
    <w:rsid w:val="28213627"/>
    <w:rsid w:val="28C9203B"/>
    <w:rsid w:val="299F0DFE"/>
    <w:rsid w:val="29FD04D3"/>
    <w:rsid w:val="2AB55574"/>
    <w:rsid w:val="2B2D171C"/>
    <w:rsid w:val="2B3E4A1E"/>
    <w:rsid w:val="2BEE73AE"/>
    <w:rsid w:val="2C4C4D6D"/>
    <w:rsid w:val="2C8A61B5"/>
    <w:rsid w:val="2D2C3057"/>
    <w:rsid w:val="2DF04E50"/>
    <w:rsid w:val="30121FC4"/>
    <w:rsid w:val="3148081D"/>
    <w:rsid w:val="319F7F4E"/>
    <w:rsid w:val="324F69B9"/>
    <w:rsid w:val="32EF7856"/>
    <w:rsid w:val="333C5EDB"/>
    <w:rsid w:val="33B260FE"/>
    <w:rsid w:val="33D56AE0"/>
    <w:rsid w:val="34FD3AB5"/>
    <w:rsid w:val="353D33AD"/>
    <w:rsid w:val="355A46F8"/>
    <w:rsid w:val="35CF08DB"/>
    <w:rsid w:val="364901C0"/>
    <w:rsid w:val="364B5487"/>
    <w:rsid w:val="36522DDA"/>
    <w:rsid w:val="36AA5135"/>
    <w:rsid w:val="378E4488"/>
    <w:rsid w:val="37C64260"/>
    <w:rsid w:val="37C9464F"/>
    <w:rsid w:val="382749B1"/>
    <w:rsid w:val="39654116"/>
    <w:rsid w:val="398A78F1"/>
    <w:rsid w:val="398E253D"/>
    <w:rsid w:val="3B304AE6"/>
    <w:rsid w:val="3D98207C"/>
    <w:rsid w:val="3DDB357B"/>
    <w:rsid w:val="3E8C7596"/>
    <w:rsid w:val="3FD049DC"/>
    <w:rsid w:val="40967390"/>
    <w:rsid w:val="40AD5FF8"/>
    <w:rsid w:val="418D6A53"/>
    <w:rsid w:val="42196617"/>
    <w:rsid w:val="43B2223D"/>
    <w:rsid w:val="443E7881"/>
    <w:rsid w:val="459A37B6"/>
    <w:rsid w:val="46F3398A"/>
    <w:rsid w:val="4739621F"/>
    <w:rsid w:val="482637A8"/>
    <w:rsid w:val="48313F5E"/>
    <w:rsid w:val="483A569A"/>
    <w:rsid w:val="4842761B"/>
    <w:rsid w:val="49EB67A8"/>
    <w:rsid w:val="4B3612A5"/>
    <w:rsid w:val="4B446651"/>
    <w:rsid w:val="4B4F25DA"/>
    <w:rsid w:val="4BE068DB"/>
    <w:rsid w:val="4C13043D"/>
    <w:rsid w:val="4C291923"/>
    <w:rsid w:val="4CA8645C"/>
    <w:rsid w:val="4D465060"/>
    <w:rsid w:val="4D577224"/>
    <w:rsid w:val="4D87285F"/>
    <w:rsid w:val="4DAE39E7"/>
    <w:rsid w:val="4DF810D6"/>
    <w:rsid w:val="4E185556"/>
    <w:rsid w:val="4E8E04CE"/>
    <w:rsid w:val="4EAB630A"/>
    <w:rsid w:val="4EB13DB4"/>
    <w:rsid w:val="4ECE2238"/>
    <w:rsid w:val="4FD64AB0"/>
    <w:rsid w:val="4FFA2441"/>
    <w:rsid w:val="4FFF3165"/>
    <w:rsid w:val="502D711A"/>
    <w:rsid w:val="50CE26AB"/>
    <w:rsid w:val="50E13293"/>
    <w:rsid w:val="510843F7"/>
    <w:rsid w:val="518D07BF"/>
    <w:rsid w:val="52A43154"/>
    <w:rsid w:val="54D21D9E"/>
    <w:rsid w:val="57121C0B"/>
    <w:rsid w:val="57430FD1"/>
    <w:rsid w:val="588D7E1E"/>
    <w:rsid w:val="591052F6"/>
    <w:rsid w:val="59622959"/>
    <w:rsid w:val="5A0C5FF2"/>
    <w:rsid w:val="5A5C5B7A"/>
    <w:rsid w:val="5BF5586A"/>
    <w:rsid w:val="5CD71FC4"/>
    <w:rsid w:val="5CE008C5"/>
    <w:rsid w:val="5E457D25"/>
    <w:rsid w:val="5FC45844"/>
    <w:rsid w:val="5FE23C83"/>
    <w:rsid w:val="60B74D62"/>
    <w:rsid w:val="61086626"/>
    <w:rsid w:val="61F8030F"/>
    <w:rsid w:val="6288580A"/>
    <w:rsid w:val="64EF1B11"/>
    <w:rsid w:val="66715D6D"/>
    <w:rsid w:val="67FA621A"/>
    <w:rsid w:val="689908F6"/>
    <w:rsid w:val="68BC3CCB"/>
    <w:rsid w:val="68EB0ED6"/>
    <w:rsid w:val="6C0528A2"/>
    <w:rsid w:val="6C4A05C8"/>
    <w:rsid w:val="6C744075"/>
    <w:rsid w:val="6C9E183C"/>
    <w:rsid w:val="6CEC2D02"/>
    <w:rsid w:val="6D6B2810"/>
    <w:rsid w:val="6DB55B38"/>
    <w:rsid w:val="6E7E3605"/>
    <w:rsid w:val="6F3426AC"/>
    <w:rsid w:val="6FE5766A"/>
    <w:rsid w:val="715C0E4B"/>
    <w:rsid w:val="717D53BB"/>
    <w:rsid w:val="720179A8"/>
    <w:rsid w:val="72734D90"/>
    <w:rsid w:val="73563370"/>
    <w:rsid w:val="743766E6"/>
    <w:rsid w:val="7455683B"/>
    <w:rsid w:val="750E180C"/>
    <w:rsid w:val="76E94F7F"/>
    <w:rsid w:val="778E5C6C"/>
    <w:rsid w:val="78563EE4"/>
    <w:rsid w:val="7A3D6ACF"/>
    <w:rsid w:val="7ACB28E3"/>
    <w:rsid w:val="7CCB71F0"/>
    <w:rsid w:val="7D41291B"/>
    <w:rsid w:val="7F1C7373"/>
    <w:rsid w:val="7F4D1BDF"/>
    <w:rsid w:val="7FA30C79"/>
    <w:rsid w:val="7FFC141D"/>
    <w:rsid w:val="B7EF553F"/>
    <w:rsid w:val="C6FC38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qFormat/>
    <w:uiPriority w:val="0"/>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标题 1 Char1"/>
    <w:link w:val="3"/>
    <w:qFormat/>
    <w:uiPriority w:val="9"/>
    <w:rPr>
      <w:rFonts w:ascii="Times New Roman" w:hAnsi="Times New Roman"/>
      <w:b/>
      <w:bCs/>
      <w:kern w:val="44"/>
      <w:sz w:val="44"/>
      <w:szCs w:val="44"/>
    </w:rPr>
  </w:style>
  <w:style w:type="character" w:customStyle="1" w:styleId="33">
    <w:name w:val="标题 2 Char1"/>
    <w:link w:val="4"/>
    <w:qFormat/>
    <w:uiPriority w:val="9"/>
    <w:rPr>
      <w:rFonts w:ascii="Cambria" w:hAnsi="Cambria" w:eastAsia="宋体" w:cs="Times New Roman"/>
      <w:b/>
      <w:bCs/>
      <w:kern w:val="2"/>
      <w:sz w:val="32"/>
      <w:szCs w:val="32"/>
    </w:rPr>
  </w:style>
  <w:style w:type="character" w:customStyle="1" w:styleId="34">
    <w:name w:val="font31"/>
    <w:basedOn w:val="15"/>
    <w:qFormat/>
    <w:uiPriority w:val="0"/>
    <w:rPr>
      <w:rFonts w:hint="eastAsia" w:ascii="宋体" w:hAnsi="宋体" w:eastAsia="宋体" w:cs="宋体"/>
      <w:color w:val="000000"/>
      <w:sz w:val="20"/>
      <w:szCs w:val="20"/>
      <w:u w:val="none"/>
    </w:rPr>
  </w:style>
  <w:style w:type="character" w:customStyle="1" w:styleId="35">
    <w:name w:val="font21"/>
    <w:basedOn w:val="15"/>
    <w:qFormat/>
    <w:uiPriority w:val="0"/>
    <w:rPr>
      <w:rFonts w:hint="eastAsia" w:ascii="宋体" w:hAnsi="宋体" w:eastAsia="宋体" w:cs="宋体"/>
      <w:color w:val="000000"/>
      <w:sz w:val="20"/>
      <w:szCs w:val="20"/>
      <w:u w:val="none"/>
    </w:rPr>
  </w:style>
  <w:style w:type="character" w:customStyle="1" w:styleId="36">
    <w:name w:val="font01"/>
    <w:basedOn w:val="15"/>
    <w:qFormat/>
    <w:uiPriority w:val="0"/>
    <w:rPr>
      <w:rFonts w:hint="default" w:ascii="Arial" w:hAnsi="Arial" w:cs="Arial"/>
      <w:color w:val="000000"/>
      <w:sz w:val="20"/>
      <w:szCs w:val="20"/>
      <w:u w:val="none"/>
    </w:rPr>
  </w:style>
  <w:style w:type="character" w:customStyle="1" w:styleId="37">
    <w:name w:val="font1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81175647305808"/>
          <c:y val="0.0429679312513101"/>
          <c:w val="0.881091672498252"/>
          <c:h val="0.757577027876755"/>
        </c:manualLayout>
      </c:layout>
      <c:barChart>
        <c:barDir val="col"/>
        <c:grouping val="clustered"/>
        <c:varyColors val="false"/>
        <c:ser>
          <c:idx val="0"/>
          <c:order val="0"/>
          <c:tx>
            <c:strRef>
              <c:f>Sheet1!$B$1</c:f>
              <c:strCache>
                <c:ptCount val="1"/>
                <c:pt idx="0">
                  <c:v>2021</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numCache>
            </c:numRef>
          </c:cat>
          <c:val>
            <c:numRef>
              <c:f>Sheet1!$B$2:$B$3</c:f>
              <c:numCache>
                <c:formatCode>General</c:formatCode>
                <c:ptCount val="2"/>
                <c:pt idx="0">
                  <c:v>4600.31</c:v>
                </c:pt>
                <c:pt idx="1">
                  <c:v>4600.31</c:v>
                </c:pt>
              </c:numCache>
            </c:numRef>
          </c:val>
        </c:ser>
        <c:ser>
          <c:idx val="1"/>
          <c:order val="1"/>
          <c:tx>
            <c:strRef>
              <c:f>Sheet1!$C$1</c:f>
              <c:strCache>
                <c:ptCount val="1"/>
                <c:pt idx="0">
                  <c:v>2020</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numCache>
            </c:numRef>
          </c:cat>
          <c:val>
            <c:numRef>
              <c:f>Sheet1!$C$2:$C$3</c:f>
              <c:numCache>
                <c:formatCode>General</c:formatCode>
                <c:ptCount val="2"/>
                <c:pt idx="0">
                  <c:v>3335.28</c:v>
                </c:pt>
                <c:pt idx="1">
                  <c:v>3335.28</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numRef>
              <c:f>Sheet1!$A$2:$A$3</c:f>
              <c:numCache>
                <c:formatCode>General</c:formatCode>
                <c:ptCount val="2"/>
              </c:numCache>
            </c:numRef>
          </c:cat>
          <c:val>
            <c:numRef>
              <c:f>Sheet1!#REF!</c:f>
              <c:numCache>
                <c:formatCode>General</c:formatCode>
                <c:ptCount val="1"/>
                <c:pt idx="0">
                  <c:v>1</c:v>
                </c:pt>
              </c:numCache>
            </c:numRef>
          </c:val>
        </c:ser>
        <c:dLbls>
          <c:showLegendKey val="false"/>
          <c:showVal val="true"/>
          <c:showCatName val="false"/>
          <c:showSerName val="false"/>
          <c:showPercent val="false"/>
          <c:showBubbleSize val="false"/>
        </c:dLbls>
        <c:gapWidth val="219"/>
        <c:overlap val="-27"/>
        <c:axId val="145716736"/>
        <c:axId val="145735040"/>
      </c:barChart>
      <c:catAx>
        <c:axId val="145716736"/>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5735040"/>
        <c:crosses val="autoZero"/>
        <c:auto val="true"/>
        <c:lblAlgn val="ctr"/>
        <c:lblOffset val="100"/>
        <c:noMultiLvlLbl val="false"/>
      </c:catAx>
      <c:valAx>
        <c:axId val="145735040"/>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5716736"/>
        <c:crosses val="autoZero"/>
        <c:crossBetween val="between"/>
      </c:valAx>
      <c:spPr>
        <a:noFill/>
        <a:ln>
          <a:noFill/>
        </a:ln>
        <a:effectLst/>
      </c:spPr>
    </c:plotArea>
    <c:legend>
      <c:legendPos val="b"/>
      <c:legendEntry>
        <c:idx val="2"/>
        <c:delete val="true"/>
      </c:legendEntry>
      <c:layout>
        <c:manualLayout>
          <c:xMode val="edge"/>
          <c:yMode val="edge"/>
          <c:x val="0.396864282214601"/>
          <c:y val="0.846806387225549"/>
          <c:w val="0.153968642822146"/>
          <c:h val="0.13997005988024"/>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财政拨款收入2</c:v>
                </c:pt>
              </c:strCache>
            </c:strRef>
          </c:tx>
          <c:explosion val="0"/>
          <c:dPt>
            <c:idx val="0"/>
            <c:bubble3D val="false"/>
            <c:spPr>
              <a:solidFill>
                <a:schemeClr val="accent1"/>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财政拨款收入</a:t>
                    </a:r>
                    <a:r>
                      <a:rPr lang="en-US" altLang="zh-CN"/>
                      <a:t>4600.31</a:t>
                    </a:r>
                    <a:r>
                      <a:rPr altLang="zh-CN"/>
                      <a:t>万元</a:t>
                    </a:r>
                    <a:endParaRPr altLang="zh-CN"/>
                  </a:p>
                  <a:p>
                    <a:pPr>
                      <a:defRPr lang="zh-CN" sz="900" b="0" i="0" u="none" strike="noStrike" kern="1200" baseline="0">
                        <a:solidFill>
                          <a:schemeClr val="tx1">
                            <a:lumMod val="75000"/>
                            <a:lumOff val="25000"/>
                          </a:schemeClr>
                        </a:solidFill>
                        <a:latin typeface="+mn-lt"/>
                        <a:ea typeface="+mn-ea"/>
                        <a:cs typeface="+mn-cs"/>
                      </a:defRPr>
                    </a:pPr>
                    <a:r>
                      <a:t> 100%</a:t>
                    </a:r>
                  </a:p>
                </c:rich>
              </c:tx>
              <c:dLblPos val="ctr"/>
              <c:showLegendKey val="false"/>
              <c:showVal val="tru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财政拨款收入</c:v>
                </c:pt>
              </c:strCache>
            </c:strRef>
          </c:cat>
          <c:val>
            <c:numRef>
              <c:f>Sheet1!$B$2</c:f>
              <c:numCache>
                <c:formatCode>General</c:formatCode>
                <c:ptCount val="1"/>
                <c:pt idx="0">
                  <c:v>3335.28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
        <c:rich>
          <a:bodyPr/>
          <a:lstStyle/>
          <a:p>
            <a:pPr>
              <a:defRPr/>
            </a:pPr>
          </a:p>
        </c:rich>
      </c:tx>
    </c:title>
    <c:autoTitleDeleted val="false"/>
    <c:plotArea>
      <c:layout/>
      <c:pieChart>
        <c:varyColors val="true"/>
        <c:ser>
          <c:idx val="0"/>
          <c:order val="0"/>
          <c:tx>
            <c:strRef>
              <c:f>Sheet1!$B$1</c:f>
              <c:strCache>
                <c:ptCount val="1"/>
                <c:pt idx="0">
                  <c:v>金额</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项目支出</a:t>
                    </a:r>
                  </a:p>
                  <a:p>
                    <a:pPr>
                      <a:defRPr lang="zh-CN" sz="900" b="0" i="0" u="none" strike="noStrike" kern="1200" baseline="0">
                        <a:solidFill>
                          <a:schemeClr val="tx1">
                            <a:lumMod val="75000"/>
                            <a:lumOff val="25000"/>
                          </a:schemeClr>
                        </a:solidFill>
                        <a:latin typeface="+mn-lt"/>
                        <a:ea typeface="+mn-ea"/>
                        <a:cs typeface="+mn-cs"/>
                      </a:defRPr>
                    </a:pPr>
                    <a:r>
                      <a:rPr lang="en-US" altLang="zh-CN"/>
                      <a:t>2902.07</a:t>
                    </a:r>
                    <a:endParaRPr lang="en-US" altLang="zh-CN"/>
                  </a:p>
                </c:rich>
              </c:tx>
              <c:dLblPos val="inEnd"/>
              <c:showLegendKey val="false"/>
              <c:showVal val="true"/>
              <c:showCatName val="false"/>
              <c:showSerName val="false"/>
              <c:showPercent val="false"/>
              <c:showBubbleSize val="false"/>
              <c:extLst>
                <c:ext xmlns:c15="http://schemas.microsoft.com/office/drawing/2012/chart" uri="{CE6537A1-D6FC-4f65-9D91-7224C49458BB}"/>
              </c:extLst>
            </c:dLbl>
            <c:dLbl>
              <c:idx val="1"/>
              <c:layout>
                <c:manualLayout>
                  <c:x val="0.115524570084265"/>
                  <c:y val="0.0675541084742716"/>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基本支出</a:t>
                    </a:r>
                  </a:p>
                  <a:p>
                    <a:pPr>
                      <a:defRPr lang="zh-CN" sz="900" b="0" i="0" u="none" strike="noStrike" kern="1200" baseline="0">
                        <a:solidFill>
                          <a:schemeClr val="tx1">
                            <a:lumMod val="75000"/>
                            <a:lumOff val="25000"/>
                          </a:schemeClr>
                        </a:solidFill>
                        <a:latin typeface="+mn-lt"/>
                        <a:ea typeface="+mn-ea"/>
                        <a:cs typeface="+mn-cs"/>
                      </a:defRPr>
                    </a:pPr>
                    <a:r>
                      <a:rPr lang="en-US" altLang="zh-CN"/>
                      <a:t>1698.24</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0925692695214106"/>
                      <c:h val="0.227783452502554"/>
                    </c:manualLayout>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项目支出</c:v>
                </c:pt>
                <c:pt idx="1">
                  <c:v>基本支出</c:v>
                </c:pt>
              </c:strCache>
            </c:strRef>
          </c:cat>
          <c:val>
            <c:numRef>
              <c:f>Sheet1!$B$2:$B$3</c:f>
              <c:numCache>
                <c:formatCode>General</c:formatCode>
                <c:ptCount val="2"/>
                <c:pt idx="0">
                  <c:v>2018.73</c:v>
                </c:pt>
                <c:pt idx="1">
                  <c:v>1316.55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
        <c:rich>
          <a:bodyPr/>
          <a:lstStyle/>
          <a:p>
            <a:pPr>
              <a:defRPr/>
            </a:pPr>
          </a:p>
        </c:rich>
      </c:tx>
    </c:title>
    <c:autoTitleDeleted val="false"/>
    <c:plotArea>
      <c:layout>
        <c:manualLayout>
          <c:layoutTarget val="inner"/>
          <c:xMode val="edge"/>
          <c:yMode val="edge"/>
          <c:x val="0.0440736620936843"/>
          <c:y val="0.159547202050406"/>
          <c:w val="0.92873563218391"/>
          <c:h val="0.636779154207604"/>
        </c:manualLayout>
      </c:layout>
      <c:barChart>
        <c:barDir val="col"/>
        <c:grouping val="clustered"/>
        <c:varyColors val="false"/>
        <c:ser>
          <c:idx val="0"/>
          <c:order val="0"/>
          <c:tx>
            <c:strRef>
              <c:f>Sheet1!$B$1</c:f>
              <c:strCache>
                <c:ptCount val="1"/>
                <c:pt idx="0">
                  <c:v>2020</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财政拨款收入总计</c:v>
                </c:pt>
                <c:pt idx="1">
                  <c:v>财政拨款支出总计</c:v>
                </c:pt>
              </c:strCache>
            </c:strRef>
          </c:cat>
          <c:val>
            <c:numRef>
              <c:f>Sheet1!$B$2:$B$3</c:f>
              <c:numCache>
                <c:formatCode>General</c:formatCode>
                <c:ptCount val="2"/>
                <c:pt idx="0">
                  <c:v>3335.28</c:v>
                </c:pt>
                <c:pt idx="1">
                  <c:v>3335.28</c:v>
                </c:pt>
              </c:numCache>
            </c:numRef>
          </c:val>
        </c:ser>
        <c:ser>
          <c:idx val="1"/>
          <c:order val="1"/>
          <c:tx>
            <c:strRef>
              <c:f>Sheet1!$C$1</c:f>
              <c:strCache>
                <c:ptCount val="1"/>
                <c:pt idx="0">
                  <c:v>2021</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财政拨款收入总计</c:v>
                </c:pt>
                <c:pt idx="1">
                  <c:v>财政拨款支出总计</c:v>
                </c:pt>
              </c:strCache>
            </c:strRef>
          </c:cat>
          <c:val>
            <c:numRef>
              <c:f>Sheet1!$C$2:$C$3</c:f>
              <c:numCache>
                <c:formatCode>General</c:formatCode>
                <c:ptCount val="2"/>
                <c:pt idx="0">
                  <c:v>4600.31</c:v>
                </c:pt>
                <c:pt idx="1">
                  <c:v>4600.31</c:v>
                </c:pt>
              </c:numCache>
            </c:numRef>
          </c:val>
        </c:ser>
        <c:ser>
          <c:idx val="2"/>
          <c:order val="2"/>
          <c:tx>
            <c:strRef>
              <c:f>Sheet1!#REF!</c:f>
              <c:strCache>
                <c:ptCount val="1"/>
                <c:pt idx="0">
                  <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财政拨款收入总计</c:v>
                </c:pt>
                <c:pt idx="1">
                  <c:v>财政拨款支出总计</c:v>
                </c:pt>
              </c:strCache>
            </c:strRef>
          </c:cat>
          <c:val>
            <c:numRef>
              <c:f>Sheet1!#REF!</c:f>
              <c:numCache>
                <c:formatCode>General</c:formatCode>
                <c:ptCount val="1"/>
                <c:pt idx="0">
                  <c:v>1</c:v>
                </c:pt>
              </c:numCache>
            </c:numRef>
          </c:val>
        </c:ser>
        <c:dLbls>
          <c:showLegendKey val="false"/>
          <c:showVal val="true"/>
          <c:showCatName val="false"/>
          <c:showSerName val="false"/>
          <c:showPercent val="false"/>
          <c:showBubbleSize val="false"/>
        </c:dLbls>
        <c:gapWidth val="219"/>
        <c:overlap val="-27"/>
        <c:axId val="146390400"/>
        <c:axId val="146632704"/>
      </c:barChart>
      <c:catAx>
        <c:axId val="146390400"/>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6632704"/>
        <c:crosses val="autoZero"/>
        <c:auto val="true"/>
        <c:lblAlgn val="ctr"/>
        <c:lblOffset val="100"/>
        <c:noMultiLvlLbl val="false"/>
      </c:catAx>
      <c:valAx>
        <c:axId val="14663270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6390400"/>
        <c:crosses val="autoZero"/>
        <c:crossBetween val="between"/>
      </c:valAx>
      <c:spPr>
        <a:noFill/>
        <a:ln>
          <a:noFill/>
        </a:ln>
        <a:effectLst/>
      </c:spPr>
    </c:plotArea>
    <c:legend>
      <c:legendPos val="b"/>
      <c:legendEntry>
        <c:idx val="2"/>
        <c:delete val="true"/>
      </c:legendEntry>
      <c:layout>
        <c:manualLayout>
          <c:xMode val="edge"/>
          <c:yMode val="edge"/>
          <c:x val="0.383636138919787"/>
          <c:y val="0.909226826142674"/>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a:t>
            </a:r>
          </a:p>
        </c:rich>
      </c:tx>
      <c:layout>
        <c:manualLayout>
          <c:xMode val="edge"/>
          <c:yMode val="edge"/>
          <c:x val="0.333004983196199"/>
          <c:y val="0.0215594681997844"/>
        </c:manualLayout>
      </c:layout>
      <c:overlay val="false"/>
      <c:spPr>
        <a:noFill/>
        <a:ln>
          <a:noFill/>
        </a:ln>
        <a:effectLst/>
      </c:spPr>
    </c:title>
    <c:autoTitleDeleted val="false"/>
    <c:plotArea>
      <c:layout>
        <c:manualLayout>
          <c:layoutTarget val="inner"/>
          <c:xMode val="edge"/>
          <c:yMode val="edge"/>
          <c:x val="0.0796392389424265"/>
          <c:y val="0.22468085106383"/>
          <c:w val="0.895033358042995"/>
          <c:h val="0.579404255319149"/>
        </c:manualLayout>
      </c:layout>
      <c:barChart>
        <c:barDir val="col"/>
        <c:grouping val="clustered"/>
        <c:varyColors val="false"/>
        <c:ser>
          <c:idx val="0"/>
          <c:order val="0"/>
          <c:tx>
            <c:strRef>
              <c:f>Sheet1!$B$1</c:f>
              <c:strCache>
                <c:ptCount val="1"/>
                <c:pt idx="0">
                  <c:v>2020</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Sheet1!$B$2</c:f>
              <c:numCache>
                <c:formatCode>General</c:formatCode>
                <c:ptCount val="1"/>
                <c:pt idx="0">
                  <c:v>3335.28</c:v>
                </c:pt>
              </c:numCache>
            </c:numRef>
          </c:val>
        </c:ser>
        <c:ser>
          <c:idx val="1"/>
          <c:order val="1"/>
          <c:tx>
            <c:strRef>
              <c:f>Sheet1!$C$1</c:f>
              <c:strCache>
                <c:ptCount val="1"/>
                <c:pt idx="0">
                  <c:v>2021</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Sheet1!$C$2</c:f>
              <c:numCache>
                <c:formatCode>General</c:formatCode>
                <c:ptCount val="1"/>
                <c:pt idx="0">
                  <c:v>4600.31</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numRef>
              <c:f>Sheet1!$A$2</c:f>
              <c:numCache>
                <c:formatCode>General</c:formatCode>
                <c:ptCount val="1"/>
              </c:numCache>
            </c:numRef>
          </c:cat>
          <c:val>
            <c:numRef>
              <c:f>Sheet1!#REF!</c:f>
              <c:numCache>
                <c:formatCode>General</c:formatCode>
                <c:ptCount val="1"/>
                <c:pt idx="0">
                  <c:v>1</c:v>
                </c:pt>
              </c:numCache>
            </c:numRef>
          </c:val>
        </c:ser>
        <c:dLbls>
          <c:showLegendKey val="false"/>
          <c:showVal val="true"/>
          <c:showCatName val="false"/>
          <c:showSerName val="false"/>
          <c:showPercent val="false"/>
          <c:showBubbleSize val="false"/>
        </c:dLbls>
        <c:gapWidth val="219"/>
        <c:overlap val="-27"/>
        <c:axId val="146664832"/>
        <c:axId val="168871040"/>
      </c:barChart>
      <c:catAx>
        <c:axId val="146664832"/>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68871040"/>
        <c:crosses val="autoZero"/>
        <c:auto val="true"/>
        <c:lblAlgn val="ctr"/>
        <c:lblOffset val="100"/>
        <c:noMultiLvlLbl val="false"/>
      </c:catAx>
      <c:valAx>
        <c:axId val="168871040"/>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6664832"/>
        <c:crosses val="autoZero"/>
        <c:crossBetween val="between"/>
      </c:valAx>
      <c:spPr>
        <a:noFill/>
        <a:ln>
          <a:noFill/>
        </a:ln>
        <a:effectLst/>
      </c:spPr>
    </c:plotArea>
    <c:legend>
      <c:legendPos val="b"/>
      <c:legendEntry>
        <c:idx val="2"/>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列1</c:v>
                </c:pt>
              </c:strCache>
            </c:strRef>
          </c:tx>
          <c:spPr/>
          <c:explosion val="0"/>
          <c:dPt>
            <c:idx val="0"/>
            <c:bubble3D val="false"/>
            <c:spPr>
              <a:solidFill>
                <a:schemeClr val="accent1">
                  <a:shade val="76667"/>
                </a:schemeClr>
              </a:solidFill>
              <a:ln w="19050">
                <a:solidFill>
                  <a:schemeClr val="lt1"/>
                </a:solidFill>
              </a:ln>
              <a:effectLst/>
            </c:spPr>
          </c:dPt>
          <c:dPt>
            <c:idx val="1"/>
            <c:bubble3D val="false"/>
            <c:explosion val="9"/>
            <c:spPr>
              <a:solidFill>
                <a:schemeClr val="accent2">
                  <a:shade val="76667"/>
                </a:schemeClr>
              </a:solidFill>
              <a:ln w="19050">
                <a:solidFill>
                  <a:schemeClr val="lt1"/>
                </a:solidFill>
              </a:ln>
              <a:effectLst/>
            </c:spPr>
          </c:dPt>
          <c:dPt>
            <c:idx val="2"/>
            <c:bubble3D val="false"/>
            <c:spPr>
              <a:solidFill>
                <a:schemeClr val="accent3">
                  <a:shade val="76667"/>
                </a:schemeClr>
              </a:solidFill>
              <a:ln w="19050">
                <a:solidFill>
                  <a:schemeClr val="lt1"/>
                </a:solidFill>
              </a:ln>
              <a:effectLst/>
            </c:spPr>
          </c:dPt>
          <c:dPt>
            <c:idx val="3"/>
            <c:bubble3D val="false"/>
            <c:spPr>
              <a:solidFill>
                <a:schemeClr val="accent4">
                  <a:shade val="76667"/>
                </a:schemeClr>
              </a:solidFill>
              <a:ln w="19050">
                <a:solidFill>
                  <a:schemeClr val="lt1"/>
                </a:solidFill>
              </a:ln>
              <a:effectLst/>
            </c:spPr>
          </c:dPt>
          <c:dPt>
            <c:idx val="4"/>
            <c:bubble3D val="false"/>
            <c:spPr>
              <a:solidFill>
                <a:schemeClr val="accent5">
                  <a:shade val="76667"/>
                </a:schemeClr>
              </a:solidFill>
              <a:ln w="19050">
                <a:solidFill>
                  <a:schemeClr val="lt1"/>
                </a:solidFill>
              </a:ln>
              <a:effectLst/>
            </c:spPr>
          </c:dPt>
          <c:dPt>
            <c:idx val="5"/>
            <c:bubble3D val="false"/>
            <c:spPr>
              <a:solidFill>
                <a:schemeClr val="accent6">
                  <a:shade val="76667"/>
                </a:schemeClr>
              </a:solidFill>
              <a:ln w="19050">
                <a:solidFill>
                  <a:schemeClr val="lt1"/>
                </a:solidFill>
              </a:ln>
              <a:effectLst/>
            </c:spPr>
          </c:dPt>
          <c:dPt>
            <c:idx val="6"/>
            <c:bubble3D val="false"/>
            <c:spPr>
              <a:solidFill>
                <a:schemeClr val="accent1">
                  <a:tint val="76667"/>
                </a:schemeClr>
              </a:solidFill>
              <a:ln w="19050">
                <a:solidFill>
                  <a:schemeClr val="lt1"/>
                </a:solidFill>
              </a:ln>
              <a:effectLst/>
            </c:spPr>
          </c:dPt>
          <c:dLbls>
            <c:dLbl>
              <c:idx val="0"/>
              <c:layout>
                <c:manualLayout>
                  <c:x val="-0.0154743498527464"/>
                  <c:y val="0.029354492379104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933208388105856"/>
                  <c:y val="0.0093438538205980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484435974660078"/>
                  <c:y val="0.034610509166261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112264127680699"/>
                  <c:y val="0.019908435992710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0580152692970576"/>
                  <c:y val="-0.0049244971797810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一般公共服务支出（类）</c:v>
                </c:pt>
                <c:pt idx="1">
                  <c:v>教育支出（类）</c:v>
                </c:pt>
                <c:pt idx="2">
                  <c:v>科学技术支出（类）</c:v>
                </c:pt>
                <c:pt idx="3">
                  <c:v>文化旅游体育与传媒支出（类）</c:v>
                </c:pt>
                <c:pt idx="4">
                  <c:v>社会保障和就业（类）</c:v>
                </c:pt>
                <c:pt idx="5">
                  <c:v>卫生健康支出（类）</c:v>
                </c:pt>
                <c:pt idx="6">
                  <c:v>住房保障支出（类）</c:v>
                </c:pt>
              </c:strCache>
            </c:strRef>
          </c:cat>
          <c:val>
            <c:numRef>
              <c:f>Sheet1!$B$2:$B$8</c:f>
              <c:numCache>
                <c:formatCode>General</c:formatCode>
                <c:ptCount val="7"/>
                <c:pt idx="0">
                  <c:v>2.4</c:v>
                </c:pt>
                <c:pt idx="1">
                  <c:v>8.98</c:v>
                </c:pt>
                <c:pt idx="2">
                  <c:v>3859.53</c:v>
                </c:pt>
                <c:pt idx="3">
                  <c:v>50</c:v>
                </c:pt>
                <c:pt idx="4">
                  <c:v>424.01</c:v>
                </c:pt>
                <c:pt idx="5">
                  <c:v>69.98</c:v>
                </c:pt>
                <c:pt idx="6">
                  <c:v>185.41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列2</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manualLayout>
                  <c:x val="0.0773098680075424"/>
                  <c:y val="0"/>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因公出国(境)  0</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829666876178504"/>
                  <c:y val="-0.293097151205259"/>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公务用车购置及运行维护费</a:t>
                    </a:r>
                    <a:r>
                      <a:rPr lang="en-US" altLang="zh-CN"/>
                      <a:t>12.19</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820867379006914"/>
                      <c:h val="0.0927684441197955"/>
                    </c:manualLayout>
                  </c15:layout>
                </c:ext>
              </c:extLst>
            </c:dLbl>
            <c:dLbl>
              <c:idx val="2"/>
              <c:layout>
                <c:manualLayout>
                  <c:x val="-0.228158390949089"/>
                  <c:y val="0.0465668371073776"/>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公务接待费0.</a:t>
                    </a:r>
                    <a:r>
                      <a:rPr lang="en-US" altLang="zh-CN"/>
                      <a:t>57</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375864236329353"/>
                      <c:h val="0.0732286340394448"/>
                    </c:manualLayout>
                  </c15:layout>
                </c:ext>
              </c:extLst>
            </c:dLbl>
            <c:spPr>
              <a:noFill/>
              <a:ln>
                <a:noFill/>
              </a:ln>
              <a:effectLst/>
            </c:spPr>
            <c:txPr>
              <a:bodyPr rot="0" spcFirstLastPara="0" vertOverflow="ellipsis" vert="horz" wrap="square" lIns="38100" tIns="19050" rIns="38100" bIns="19050" anchor="ctr" anchorCtr="true"/>
              <a:lstStyle/>
              <a:p>
                <a:pPr algn="ct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12.19</c:v>
                </c:pt>
                <c:pt idx="2">
                  <c:v>0.57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17268</Words>
  <Characters>18521</Characters>
  <Lines>145</Lines>
  <Paragraphs>40</Paragraphs>
  <TotalTime>21</TotalTime>
  <ScaleCrop>false</ScaleCrop>
  <LinksUpToDate>false</LinksUpToDate>
  <CharactersWithSpaces>19059</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2022-08-26T15:21:00Z</cp:lastPrinted>
  <dcterms:modified xsi:type="dcterms:W3CDTF">2023-10-11T14:31:30Z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2E9A75BE36BC45D4838505889EB1E20E</vt:lpwstr>
  </property>
</Properties>
</file>