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52"/>
          <w:szCs w:val="52"/>
        </w:rPr>
      </w:pPr>
      <w:bookmarkStart w:id="1" w:name="_Toc15396597"/>
      <w:bookmarkStart w:id="2" w:name="_Toc15377425"/>
      <w:bookmarkStart w:id="3" w:name="_Toc15377193"/>
      <w:bookmarkStart w:id="4" w:name="_Toc24550"/>
      <w:bookmarkStart w:id="5" w:name="_Toc27977"/>
      <w:bookmarkStart w:id="6" w:name="_Toc15396475"/>
      <w:bookmarkStart w:id="7" w:name="_Toc15378441"/>
    </w:p>
    <w:p>
      <w:pPr>
        <w:adjustRightInd w:val="0"/>
        <w:snapToGrid w:val="0"/>
        <w:spacing w:line="360" w:lineRule="auto"/>
        <w:jc w:val="center"/>
        <w:outlineLvl w:val="0"/>
        <w:rPr>
          <w:rFonts w:ascii="方正小标宋简体" w:hAnsi="宋体" w:eastAsia="方正小标宋简体"/>
          <w:color w:val="000000"/>
          <w:sz w:val="52"/>
          <w:szCs w:val="52"/>
        </w:rPr>
      </w:pPr>
      <w:r>
        <w:rPr>
          <w:rFonts w:ascii="黑体" w:hAnsi="黑体" w:eastAsia="黑体"/>
          <w:color w:val="000000"/>
          <w:sz w:val="52"/>
          <w:szCs w:val="52"/>
        </w:rPr>
        <w:t>201</w:t>
      </w:r>
      <w:r>
        <w:rPr>
          <w:rFonts w:hint="eastAsia" w:ascii="黑体" w:hAnsi="黑体" w:eastAsia="黑体"/>
          <w:color w:val="000000"/>
          <w:sz w:val="52"/>
          <w:szCs w:val="52"/>
        </w:rPr>
        <w:t>8</w:t>
      </w:r>
      <w:r>
        <w:rPr>
          <w:rFonts w:hint="eastAsia" w:ascii="方正小标宋简体" w:hAnsi="宋体" w:eastAsia="方正小标宋简体"/>
          <w:color w:val="000000"/>
          <w:sz w:val="52"/>
          <w:szCs w:val="52"/>
        </w:rPr>
        <w:t>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宋体" w:eastAsia="方正小标宋简体"/>
          <w:color w:val="000000"/>
          <w:sz w:val="52"/>
          <w:szCs w:val="52"/>
        </w:rPr>
      </w:pPr>
      <w:bookmarkStart w:id="8" w:name="_Toc27444"/>
      <w:bookmarkStart w:id="9" w:name="_Toc15378442"/>
      <w:bookmarkStart w:id="10" w:name="_Toc15396598"/>
      <w:bookmarkStart w:id="11" w:name="_Toc15377194"/>
      <w:bookmarkStart w:id="12" w:name="_Toc29610"/>
      <w:bookmarkStart w:id="13" w:name="_Toc15377426"/>
      <w:bookmarkStart w:id="14" w:name="_Toc15396476"/>
      <w:r>
        <w:rPr>
          <w:rFonts w:hint="eastAsia" w:ascii="方正小标宋简体" w:hAnsi="宋体" w:eastAsia="方正小标宋简体"/>
          <w:color w:val="000000"/>
          <w:sz w:val="52"/>
          <w:szCs w:val="52"/>
        </w:rPr>
        <w:t>四川省</w:t>
      </w:r>
      <w:bookmarkEnd w:id="0"/>
      <w:bookmarkStart w:id="15" w:name="_Toc15306268"/>
      <w:r>
        <w:rPr>
          <w:rFonts w:hint="eastAsia" w:ascii="方正小标宋简体" w:hAnsi="宋体" w:eastAsia="方正小标宋简体"/>
          <w:color w:val="000000"/>
          <w:sz w:val="52"/>
          <w:szCs w:val="52"/>
        </w:rPr>
        <w:t>化工地质勘查院部门决算</w:t>
      </w:r>
      <w:bookmarkEnd w:id="8"/>
      <w:bookmarkEnd w:id="9"/>
      <w:bookmarkEnd w:id="10"/>
      <w:bookmarkEnd w:id="11"/>
      <w:bookmarkEnd w:id="12"/>
      <w:bookmarkEnd w:id="13"/>
      <w:bookmarkEnd w:id="14"/>
      <w:bookmarkEnd w:id="15"/>
    </w:p>
    <w:p>
      <w:pPr>
        <w:widowControl/>
        <w:jc w:val="center"/>
        <w:rPr>
          <w:rFonts w:ascii="黑体" w:hAnsi="黑体" w:eastAsia="黑体"/>
          <w:color w:val="000000"/>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8"/>
        <w:tabs>
          <w:tab w:val="right" w:leader="dot" w:pos="8306"/>
          <w:tab w:val="clear" w:pos="8296"/>
        </w:tabs>
        <w:spacing w:line="400" w:lineRule="exact"/>
        <w:rPr>
          <w:rFonts w:cs="仿宋"/>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r>
        <w:fldChar w:fldCharType="begin"/>
      </w:r>
      <w:r>
        <w:instrText xml:space="preserve"> HYPERLINK \l "_Toc10978" </w:instrText>
      </w:r>
      <w:r>
        <w:fldChar w:fldCharType="separate"/>
      </w:r>
      <w:r>
        <w:rPr>
          <w:rFonts w:hint="eastAsia" w:cs="仿宋"/>
        </w:rPr>
        <w:t>第一部分 部门概况</w:t>
      </w:r>
      <w:r>
        <w:rPr>
          <w:rFonts w:hint="eastAsia" w:cs="仿宋"/>
        </w:rPr>
        <w:tab/>
      </w:r>
      <w:r>
        <w:rPr>
          <w:rFonts w:hint="eastAsia" w:cs="仿宋"/>
        </w:rPr>
        <w:fldChar w:fldCharType="begin"/>
      </w:r>
      <w:r>
        <w:rPr>
          <w:rFonts w:hint="eastAsia" w:cs="仿宋"/>
        </w:rPr>
        <w:instrText xml:space="preserve"> PAGEREF _Toc10978 </w:instrText>
      </w:r>
      <w:r>
        <w:rPr>
          <w:rFonts w:hint="eastAsia" w:cs="仿宋"/>
        </w:rPr>
        <w:fldChar w:fldCharType="separate"/>
      </w:r>
      <w:r>
        <w:rPr>
          <w:rFonts w:cs="仿宋"/>
        </w:rPr>
        <w:t>1</w:t>
      </w:r>
      <w:r>
        <w:rPr>
          <w:rFonts w:hint="eastAsia" w:cs="仿宋"/>
        </w:rPr>
        <w:fldChar w:fldCharType="end"/>
      </w:r>
      <w:r>
        <w:rPr>
          <w:rFonts w:hint="eastAsia" w:cs="仿宋"/>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"_Toc3896" </w:instrText>
      </w:r>
      <w:r>
        <w:fldChar w:fldCharType="separate"/>
      </w:r>
      <w:r>
        <w:rPr>
          <w:rFonts w:hint="eastAsia" w:ascii="仿宋" w:hAnsi="仿宋" w:eastAsia="仿宋" w:cs="仿宋"/>
          <w:sz w:val="28"/>
          <w:szCs w:val="28"/>
        </w:rPr>
        <w:t>一、 基本职能及主要工作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_Toc3896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"_Toc18696" </w:instrText>
      </w:r>
      <w: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_Toc18696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 w:val="clear" w:pos="8296"/>
        </w:tabs>
        <w:spacing w:line="400" w:lineRule="exact"/>
        <w:rPr>
          <w:rFonts w:cs="仿宋"/>
        </w:rPr>
      </w:pPr>
      <w:r>
        <w:fldChar w:fldCharType="begin"/>
      </w:r>
      <w:r>
        <w:instrText xml:space="preserve"> HYPERLINK \l "_Toc13393" </w:instrText>
      </w:r>
      <w:r>
        <w:fldChar w:fldCharType="separate"/>
      </w:r>
      <w:r>
        <w:rPr>
          <w:rFonts w:hint="eastAsia" w:cs="仿宋"/>
        </w:rPr>
        <w:t>第二部分 2018年度部门决算情况说明</w:t>
      </w:r>
      <w:r>
        <w:rPr>
          <w:rFonts w:hint="eastAsia" w:cs="仿宋"/>
        </w:rPr>
        <w:tab/>
      </w:r>
      <w:r>
        <w:rPr>
          <w:rFonts w:hint="eastAsia" w:cs="仿宋"/>
        </w:rPr>
        <w:fldChar w:fldCharType="begin"/>
      </w:r>
      <w:r>
        <w:rPr>
          <w:rFonts w:hint="eastAsia" w:cs="仿宋"/>
        </w:rPr>
        <w:instrText xml:space="preserve"> PAGEREF _Toc13393 </w:instrText>
      </w:r>
      <w:r>
        <w:rPr>
          <w:rFonts w:hint="eastAsia" w:cs="仿宋"/>
        </w:rPr>
        <w:fldChar w:fldCharType="separate"/>
      </w:r>
      <w:r>
        <w:rPr>
          <w:rFonts w:cs="仿宋"/>
        </w:rPr>
        <w:t>3</w:t>
      </w:r>
      <w:r>
        <w:rPr>
          <w:rFonts w:hint="eastAsia" w:cs="仿宋"/>
        </w:rPr>
        <w:fldChar w:fldCharType="end"/>
      </w:r>
      <w:r>
        <w:rPr>
          <w:rFonts w:hint="eastAsia" w:cs="仿宋"/>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"_Toc181" </w:instrText>
      </w:r>
      <w: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_Toc181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"_Toc10112" </w:instrText>
      </w:r>
      <w: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_Toc10112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"_Toc11052" </w:instrText>
      </w:r>
      <w: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_Toc11052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"_Toc9265" </w:instrText>
      </w:r>
      <w: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_Toc9265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"_Toc10362" </w:instrText>
      </w:r>
      <w: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_Toc10362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"_Toc6983" </w:instrText>
      </w:r>
      <w: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_Toc6983 </w:instrText>
      </w:r>
      <w:r>
        <w:rPr>
          <w:rFonts w:hint="eastAsia" w:ascii="仿宋" w:hAnsi="仿宋" w:eastAsia="仿宋" w:cs="仿宋"/>
          <w:sz w:val="28"/>
          <w:szCs w:val="28"/>
        </w:rPr>
        <w:fldChar w:fldCharType="separate"/>
      </w:r>
      <w:r>
        <w:rPr>
          <w:rFonts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"_Toc6870" </w:instrText>
      </w:r>
      <w:r>
        <w:fldChar w:fldCharType="separate"/>
      </w:r>
      <w:r>
        <w:rPr>
          <w:rFonts w:hint="eastAsia" w:ascii="仿宋" w:hAnsi="仿宋" w:eastAsia="仿宋" w:cs="仿宋"/>
          <w:sz w:val="28"/>
          <w:szCs w:val="28"/>
        </w:rPr>
        <w:t>七、“三公”经费财政拨款支出决算情况说明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_Toc6870 </w:instrText>
      </w:r>
      <w:r>
        <w:rPr>
          <w:rFonts w:hint="eastAsia" w:ascii="仿宋" w:hAnsi="仿宋" w:eastAsia="仿宋" w:cs="仿宋"/>
          <w:sz w:val="28"/>
          <w:szCs w:val="28"/>
        </w:rPr>
        <w:fldChar w:fldCharType="separate"/>
      </w:r>
      <w:r>
        <w:rPr>
          <w:rFonts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"_Toc20344" </w:instrText>
      </w:r>
      <w: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_Toc20344 </w:instrText>
      </w:r>
      <w:r>
        <w:rPr>
          <w:rFonts w:hint="eastAsia" w:ascii="仿宋" w:hAnsi="仿宋" w:eastAsia="仿宋" w:cs="仿宋"/>
          <w:sz w:val="28"/>
          <w:szCs w:val="28"/>
        </w:rPr>
        <w:fldChar w:fldCharType="separate"/>
      </w:r>
      <w:r>
        <w:rPr>
          <w:rFonts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"_Toc9743" </w:instrText>
      </w:r>
      <w: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_Toc9743 </w:instrText>
      </w:r>
      <w:r>
        <w:rPr>
          <w:rFonts w:hint="eastAsia" w:ascii="仿宋" w:hAnsi="仿宋" w:eastAsia="仿宋" w:cs="仿宋"/>
          <w:sz w:val="28"/>
          <w:szCs w:val="28"/>
        </w:rPr>
        <w:fldChar w:fldCharType="separate"/>
      </w:r>
      <w:r>
        <w:rPr>
          <w:rFonts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"_Toc22915" </w:instrText>
      </w:r>
      <w:r>
        <w:fldChar w:fldCharType="separate"/>
      </w:r>
      <w:r>
        <w:rPr>
          <w:rFonts w:hint="eastAsia" w:ascii="仿宋" w:hAnsi="仿宋" w:eastAsia="仿宋" w:cs="仿宋"/>
          <w:sz w:val="28"/>
          <w:szCs w:val="28"/>
        </w:rPr>
        <w:t>十、 预算绩效情况说明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_Toc22915 </w:instrText>
      </w:r>
      <w:r>
        <w:rPr>
          <w:rFonts w:hint="eastAsia" w:ascii="仿宋" w:hAnsi="仿宋" w:eastAsia="仿宋" w:cs="仿宋"/>
          <w:sz w:val="28"/>
          <w:szCs w:val="28"/>
        </w:rPr>
        <w:fldChar w:fldCharType="separate"/>
      </w:r>
      <w:r>
        <w:rPr>
          <w:rFonts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"_Toc7024" </w:instrText>
      </w:r>
      <w:r>
        <w:fldChar w:fldCharType="separate"/>
      </w:r>
      <w:r>
        <w:rPr>
          <w:rFonts w:hint="eastAsia" w:ascii="仿宋" w:hAnsi="仿宋" w:eastAsia="仿宋" w:cs="仿宋"/>
          <w:sz w:val="28"/>
          <w:szCs w:val="28"/>
        </w:rPr>
        <w:t>十一、其他重要事项的情况说明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_Toc7024 </w:instrText>
      </w:r>
      <w:r>
        <w:rPr>
          <w:rFonts w:hint="eastAsia" w:ascii="仿宋" w:hAnsi="仿宋" w:eastAsia="仿宋" w:cs="仿宋"/>
          <w:sz w:val="28"/>
          <w:szCs w:val="28"/>
        </w:rPr>
        <w:fldChar w:fldCharType="separate"/>
      </w:r>
      <w:r>
        <w:rPr>
          <w:rFonts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8"/>
        <w:tabs>
          <w:tab w:val="right" w:leader="dot" w:pos="8306"/>
          <w:tab w:val="clear" w:pos="8296"/>
        </w:tabs>
        <w:spacing w:line="400" w:lineRule="exact"/>
        <w:rPr>
          <w:rFonts w:cs="仿宋"/>
        </w:rPr>
      </w:pPr>
      <w:r>
        <w:fldChar w:fldCharType="begin"/>
      </w:r>
      <w:r>
        <w:instrText xml:space="preserve"> HYPERLINK \l "_Toc31487" </w:instrText>
      </w:r>
      <w:r>
        <w:fldChar w:fldCharType="separate"/>
      </w:r>
      <w:r>
        <w:rPr>
          <w:rFonts w:hint="eastAsia" w:cs="仿宋"/>
        </w:rPr>
        <w:t>第三部分 名词解释</w:t>
      </w:r>
      <w:r>
        <w:rPr>
          <w:rFonts w:hint="eastAsia" w:cs="仿宋"/>
        </w:rPr>
        <w:tab/>
      </w:r>
      <w:r>
        <w:rPr>
          <w:rFonts w:hint="eastAsia" w:cs="仿宋"/>
        </w:rPr>
        <w:fldChar w:fldCharType="begin"/>
      </w:r>
      <w:r>
        <w:rPr>
          <w:rFonts w:hint="eastAsia" w:cs="仿宋"/>
        </w:rPr>
        <w:instrText xml:space="preserve"> PAGEREF _Toc31487 </w:instrText>
      </w:r>
      <w:r>
        <w:rPr>
          <w:rFonts w:hint="eastAsia" w:cs="仿宋"/>
        </w:rPr>
        <w:fldChar w:fldCharType="separate"/>
      </w:r>
      <w:r>
        <w:rPr>
          <w:rFonts w:cs="仿宋"/>
        </w:rPr>
        <w:t>14</w:t>
      </w:r>
      <w:r>
        <w:rPr>
          <w:rFonts w:hint="eastAsia" w:cs="仿宋"/>
        </w:rPr>
        <w:fldChar w:fldCharType="end"/>
      </w:r>
      <w:r>
        <w:rPr>
          <w:rFonts w:hint="eastAsia" w:cs="仿宋"/>
        </w:rPr>
        <w:fldChar w:fldCharType="end"/>
      </w:r>
    </w:p>
    <w:p>
      <w:pPr>
        <w:pStyle w:val="8"/>
        <w:tabs>
          <w:tab w:val="right" w:leader="dot" w:pos="8306"/>
          <w:tab w:val="clear" w:pos="8296"/>
        </w:tabs>
        <w:spacing w:line="400" w:lineRule="exact"/>
        <w:rPr>
          <w:rFonts w:cs="仿宋"/>
        </w:rPr>
      </w:pPr>
      <w:r>
        <w:fldChar w:fldCharType="begin"/>
      </w:r>
      <w:r>
        <w:instrText xml:space="preserve"> HYPERLINK \l "_Toc32192" </w:instrText>
      </w:r>
      <w:r>
        <w:fldChar w:fldCharType="separate"/>
      </w:r>
      <w:r>
        <w:rPr>
          <w:rFonts w:hint="eastAsia" w:cs="仿宋"/>
        </w:rPr>
        <w:t>第四部分 附件</w:t>
      </w:r>
      <w:r>
        <w:rPr>
          <w:rFonts w:hint="eastAsia" w:cs="仿宋"/>
        </w:rPr>
        <w:tab/>
      </w:r>
      <w:r>
        <w:rPr>
          <w:rFonts w:hint="eastAsia" w:cs="仿宋"/>
        </w:rPr>
        <w:fldChar w:fldCharType="begin"/>
      </w:r>
      <w:r>
        <w:rPr>
          <w:rFonts w:hint="eastAsia" w:cs="仿宋"/>
        </w:rPr>
        <w:instrText xml:space="preserve"> PAGEREF _Toc32192 </w:instrText>
      </w:r>
      <w:r>
        <w:rPr>
          <w:rFonts w:hint="eastAsia" w:cs="仿宋"/>
        </w:rPr>
        <w:fldChar w:fldCharType="separate"/>
      </w:r>
      <w:r>
        <w:rPr>
          <w:rFonts w:cs="仿宋"/>
        </w:rPr>
        <w:t>17</w:t>
      </w:r>
      <w:r>
        <w:rPr>
          <w:rFonts w:hint="eastAsia" w:cs="仿宋"/>
        </w:rPr>
        <w:fldChar w:fldCharType="end"/>
      </w:r>
      <w:r>
        <w:rPr>
          <w:rFonts w:hint="eastAsia" w:cs="仿宋"/>
        </w:rPr>
        <w:fldChar w:fldCharType="end"/>
      </w:r>
    </w:p>
    <w:p>
      <w:pPr>
        <w:pStyle w:val="8"/>
        <w:tabs>
          <w:tab w:val="right" w:leader="dot" w:pos="8306"/>
          <w:tab w:val="clear" w:pos="8296"/>
        </w:tabs>
        <w:spacing w:line="400" w:lineRule="exact"/>
        <w:rPr>
          <w:rFonts w:cs="仿宋"/>
        </w:rPr>
      </w:pPr>
      <w:r>
        <w:fldChar w:fldCharType="begin"/>
      </w:r>
      <w:r>
        <w:instrText xml:space="preserve"> HYPERLINK \l "_Toc26186" </w:instrText>
      </w:r>
      <w:r>
        <w:fldChar w:fldCharType="separate"/>
      </w:r>
      <w:r>
        <w:rPr>
          <w:rFonts w:hint="eastAsia" w:cs="仿宋"/>
        </w:rPr>
        <w:t>第五部分 附表</w:t>
      </w:r>
      <w:r>
        <w:rPr>
          <w:rFonts w:hint="eastAsia" w:cs="仿宋"/>
        </w:rPr>
        <w:tab/>
      </w:r>
      <w:r>
        <w:rPr>
          <w:rFonts w:hint="eastAsia" w:cs="仿宋"/>
        </w:rPr>
        <w:fldChar w:fldCharType="begin"/>
      </w:r>
      <w:r>
        <w:rPr>
          <w:rFonts w:hint="eastAsia" w:cs="仿宋"/>
        </w:rPr>
        <w:instrText xml:space="preserve"> PAGEREF _Toc26186 </w:instrText>
      </w:r>
      <w:r>
        <w:rPr>
          <w:rFonts w:hint="eastAsia" w:cs="仿宋"/>
        </w:rPr>
        <w:fldChar w:fldCharType="separate"/>
      </w:r>
      <w:r>
        <w:rPr>
          <w:rFonts w:cs="仿宋"/>
        </w:rPr>
        <w:t>24</w:t>
      </w:r>
      <w:r>
        <w:rPr>
          <w:rFonts w:hint="eastAsia" w:cs="仿宋"/>
        </w:rPr>
        <w:fldChar w:fldCharType="end"/>
      </w:r>
      <w:r>
        <w:rPr>
          <w:rFonts w:hint="eastAsia" w:cs="仿宋"/>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"_Toc32479" </w:instrText>
      </w:r>
      <w:r>
        <w:fldChar w:fldCharType="separate"/>
      </w:r>
      <w:r>
        <w:rPr>
          <w:rFonts w:hint="eastAsia" w:ascii="仿宋" w:hAnsi="仿宋" w:eastAsia="仿宋" w:cs="仿宋"/>
          <w:sz w:val="28"/>
          <w:szCs w:val="28"/>
        </w:rPr>
        <w:t>一、收入支出决算总表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_Toc32479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"_Toc23310" </w:instrText>
      </w:r>
      <w:r>
        <w:fldChar w:fldCharType="separate"/>
      </w:r>
      <w:r>
        <w:rPr>
          <w:rFonts w:hint="eastAsia" w:ascii="仿宋" w:hAnsi="仿宋" w:eastAsia="仿宋" w:cs="仿宋"/>
          <w:sz w:val="28"/>
          <w:szCs w:val="28"/>
        </w:rPr>
        <w:t>二、收入决算表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_Toc23310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"_Toc1900" </w:instrText>
      </w:r>
      <w:r>
        <w:fldChar w:fldCharType="separate"/>
      </w:r>
      <w:r>
        <w:rPr>
          <w:rFonts w:hint="eastAsia" w:ascii="仿宋" w:hAnsi="仿宋" w:eastAsia="仿宋" w:cs="仿宋"/>
          <w:sz w:val="28"/>
          <w:szCs w:val="28"/>
        </w:rPr>
        <w:t>三、支出决算表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_Toc1900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"_Toc26501" </w:instrText>
      </w:r>
      <w:r>
        <w:fldChar w:fldCharType="separate"/>
      </w:r>
      <w:r>
        <w:rPr>
          <w:rFonts w:hint="eastAsia" w:ascii="仿宋" w:hAnsi="仿宋" w:eastAsia="仿宋" w:cs="仿宋"/>
          <w:sz w:val="28"/>
          <w:szCs w:val="28"/>
        </w:rPr>
        <w:t>四、财政拨款收入支出决算总表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_Toc26501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"_Toc24524" </w:instrText>
      </w:r>
      <w:r>
        <w:fldChar w:fldCharType="separate"/>
      </w:r>
      <w:r>
        <w:rPr>
          <w:rFonts w:hint="eastAsia" w:ascii="仿宋" w:hAnsi="仿宋" w:eastAsia="仿宋" w:cs="仿宋"/>
          <w:sz w:val="28"/>
          <w:szCs w:val="28"/>
        </w:rPr>
        <w:t>五、财政拨款支出决算明细表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_Toc24524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"_Toc5294" </w:instrText>
      </w:r>
      <w:r>
        <w:fldChar w:fldCharType="separate"/>
      </w:r>
      <w:r>
        <w:rPr>
          <w:rFonts w:hint="eastAsia" w:ascii="仿宋" w:hAnsi="仿宋" w:eastAsia="仿宋" w:cs="仿宋"/>
          <w:sz w:val="28"/>
          <w:szCs w:val="28"/>
        </w:rPr>
        <w:t>六、一般公共预算财政拨款支出决算表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_Toc5294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"_Toc9875" </w:instrText>
      </w:r>
      <w:r>
        <w:fldChar w:fldCharType="separate"/>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_Toc9875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"_Toc561" </w:instrText>
      </w:r>
      <w:r>
        <w:fldChar w:fldCharType="separate"/>
      </w: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_Toc561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"_Toc4773" </w:instrText>
      </w:r>
      <w:r>
        <w:fldChar w:fldCharType="separate"/>
      </w: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_Toc4773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"_Toc12757" </w:instrText>
      </w:r>
      <w:r>
        <w:fldChar w:fldCharType="separate"/>
      </w:r>
      <w:r>
        <w:rPr>
          <w:rFonts w:hint="eastAsia" w:ascii="仿宋" w:hAnsi="仿宋" w:eastAsia="仿宋" w:cs="仿宋"/>
          <w:sz w:val="28"/>
          <w:szCs w:val="28"/>
        </w:rPr>
        <w:t>十、一般公共预算财政拨款“三公”经费支出决算表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_Toc12757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"_Toc29519" </w:instrText>
      </w:r>
      <w:r>
        <w:fldChar w:fldCharType="separate"/>
      </w:r>
      <w:r>
        <w:rPr>
          <w:rFonts w:hint="eastAsia" w:ascii="仿宋" w:hAnsi="仿宋" w:eastAsia="仿宋" w:cs="仿宋"/>
          <w:sz w:val="28"/>
          <w:szCs w:val="28"/>
        </w:rPr>
        <w:t>十一、政府性基金预算财政拨款收入支出决算表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_Toc29519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rPr>
          <w:rFonts w:ascii="仿宋" w:hAnsi="仿宋" w:eastAsia="仿宋" w:cs="仿宋"/>
          <w:sz w:val="28"/>
          <w:szCs w:val="28"/>
        </w:rPr>
      </w:pPr>
      <w:r>
        <w:fldChar w:fldCharType="begin"/>
      </w:r>
      <w:r>
        <w:instrText xml:space="preserve"> HYPERLINK \l "_Toc24498" </w:instrText>
      </w:r>
      <w:r>
        <w:fldChar w:fldCharType="separate"/>
      </w:r>
      <w:r>
        <w:rPr>
          <w:rFonts w:hint="eastAsia" w:ascii="仿宋" w:hAnsi="仿宋" w:eastAsia="仿宋" w:cs="仿宋"/>
          <w:sz w:val="28"/>
          <w:szCs w:val="28"/>
        </w:rPr>
        <w:t>十二、政府性基金预算财政拨款“三公”经费支出决算表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_Toc24498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tabs>
          <w:tab w:val="right" w:leader="dot" w:pos="8306"/>
          <w:tab w:val="clear" w:pos="8296"/>
        </w:tabs>
        <w:spacing w:line="400" w:lineRule="exact"/>
      </w:pPr>
      <w:r>
        <w:fldChar w:fldCharType="begin"/>
      </w:r>
      <w:r>
        <w:instrText xml:space="preserve"> HYPERLINK \l "_Toc7752" </w:instrText>
      </w:r>
      <w:r>
        <w:fldChar w:fldCharType="separate"/>
      </w:r>
      <w:r>
        <w:rPr>
          <w:rFonts w:hint="eastAsia" w:ascii="仿宋" w:hAnsi="仿宋" w:eastAsia="仿宋" w:cs="仿宋"/>
          <w:sz w:val="28"/>
          <w:szCs w:val="28"/>
        </w:rPr>
        <w:t>十三、国有资本经营预算支出决算表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_Toc7752 </w:instrText>
      </w:r>
      <w:r>
        <w:rPr>
          <w:rFonts w:hint="eastAsia" w:ascii="仿宋" w:hAnsi="仿宋" w:eastAsia="仿宋" w:cs="仿宋"/>
          <w:sz w:val="28"/>
          <w:szCs w:val="28"/>
        </w:rPr>
        <w:fldChar w:fldCharType="separate"/>
      </w:r>
      <w:r>
        <w:rPr>
          <w:rFonts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widowControl/>
        <w:jc w:val="left"/>
        <w:rPr>
          <w:rFonts w:ascii="仿宋" w:hAnsi="仿宋" w:eastAsia="仿宋"/>
          <w:color w:val="000000"/>
          <w:sz w:val="24"/>
        </w:rPr>
      </w:pPr>
      <w:r>
        <w:rPr>
          <w:rFonts w:ascii="仿宋" w:hAnsi="仿宋" w:eastAsia="仿宋"/>
          <w:color w:val="000000"/>
        </w:rPr>
        <w:fldChar w:fldCharType="end"/>
      </w:r>
    </w:p>
    <w:p>
      <w:pPr>
        <w:pStyle w:val="2"/>
        <w:jc w:val="center"/>
        <w:rPr>
          <w:rFonts w:ascii="黑体" w:hAnsi="黑体" w:eastAsia="黑体"/>
          <w:b w:val="0"/>
        </w:rPr>
        <w:sectPr>
          <w:footerReference r:id="rId10" w:type="first"/>
          <w:footerReference r:id="rId9" w:type="default"/>
          <w:pgSz w:w="11906" w:h="16838"/>
          <w:pgMar w:top="1440" w:right="1800" w:bottom="1440" w:left="1800" w:header="851" w:footer="992" w:gutter="0"/>
          <w:pgNumType w:start="1"/>
          <w:cols w:space="425" w:num="1"/>
          <w:titlePg/>
          <w:docGrid w:type="lines" w:linePitch="312" w:charSpace="0"/>
        </w:sectPr>
      </w:pPr>
      <w:bookmarkStart w:id="16" w:name="_Toc10978"/>
      <w:bookmarkStart w:id="17" w:name="_Toc15377196"/>
    </w:p>
    <w:p>
      <w:pPr>
        <w:pStyle w:val="2"/>
        <w:jc w:val="center"/>
        <w:rPr>
          <w:rStyle w:val="15"/>
          <w:rFonts w:ascii="黑体" w:hAnsi="黑体" w:eastAsia="黑体"/>
          <w:b/>
          <w:bCs w:val="0"/>
        </w:rPr>
      </w:pPr>
      <w:r>
        <w:rPr>
          <w:rFonts w:hint="eastAsia" w:ascii="黑体" w:hAnsi="黑体" w:eastAsia="黑体"/>
          <w:b w:val="0"/>
        </w:rPr>
        <w:t xml:space="preserve">第一部分 </w:t>
      </w:r>
      <w:r>
        <w:rPr>
          <w:rStyle w:val="15"/>
          <w:rFonts w:hint="eastAsia" w:ascii="黑体" w:hAnsi="黑体" w:eastAsia="黑体"/>
          <w:b w:val="0"/>
          <w:bCs w:val="0"/>
        </w:rPr>
        <w:t>部门概况</w:t>
      </w:r>
      <w:bookmarkEnd w:id="16"/>
      <w:bookmarkEnd w:id="17"/>
    </w:p>
    <w:p>
      <w:pPr>
        <w:widowControl/>
        <w:jc w:val="left"/>
        <w:rPr>
          <w:rFonts w:ascii="黑体" w:eastAsia="黑体"/>
          <w:color w:val="000000"/>
          <w:sz w:val="32"/>
          <w:szCs w:val="32"/>
        </w:rPr>
      </w:pPr>
    </w:p>
    <w:p>
      <w:pPr>
        <w:pStyle w:val="3"/>
        <w:numPr>
          <w:ilvl w:val="0"/>
          <w:numId w:val="1"/>
        </w:numPr>
        <w:rPr>
          <w:rStyle w:val="16"/>
          <w:rFonts w:ascii="黑体" w:hAnsi="黑体" w:eastAsia="黑体"/>
          <w:b w:val="0"/>
          <w:bCs w:val="0"/>
        </w:rPr>
      </w:pPr>
      <w:bookmarkStart w:id="18" w:name="_Toc15377197"/>
      <w:bookmarkStart w:id="19" w:name="_Toc3896"/>
      <w:r>
        <w:rPr>
          <w:rFonts w:hint="eastAsia" w:ascii="黑体" w:hAnsi="黑体" w:eastAsia="黑体"/>
          <w:b w:val="0"/>
          <w:color w:val="000000"/>
        </w:rPr>
        <w:t>基</w:t>
      </w:r>
      <w:r>
        <w:rPr>
          <w:rStyle w:val="16"/>
          <w:rFonts w:hint="eastAsia" w:ascii="黑体" w:hAnsi="黑体" w:eastAsia="黑体"/>
          <w:b w:val="0"/>
          <w:bCs w:val="0"/>
        </w:rPr>
        <w:t>本职能及主要工作</w:t>
      </w:r>
      <w:bookmarkEnd w:id="18"/>
      <w:bookmarkEnd w:id="19"/>
      <w:bookmarkStart w:id="20" w:name="_Toc15377198"/>
      <w:bookmarkStart w:id="21" w:name="_Toc15378445"/>
    </w:p>
    <w:p>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（一）主要职能。</w:t>
      </w:r>
      <w:bookmarkEnd w:id="20"/>
      <w:bookmarkEnd w:id="21"/>
      <w:bookmarkStart w:id="22" w:name="_Toc15378446"/>
      <w:bookmarkStart w:id="23" w:name="_Toc15377199"/>
    </w:p>
    <w:p>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我单位为四川省化工地质勘查院，根据国家《矿产资源法》和相关法律、法规、政策，为国民经济发展，地方社会经济建设需求及进一步开发西部的需要，提供和开展矿产资源地质调查、勘查、找矿、水文地质勘察，地形地质测绘、工程测量、地质灾害危险性评价，地质环境影响评价等专业服务。</w:t>
      </w:r>
    </w:p>
    <w:p>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（二）2018年重点工作完成情况。</w:t>
      </w:r>
      <w:bookmarkEnd w:id="22"/>
      <w:bookmarkEnd w:id="23"/>
    </w:p>
    <w:p>
      <w:pPr>
        <w:pStyle w:val="4"/>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地质勘查是我院的主营业务。2018年度，我院签订地质类合同协议39项，涉及合同金额586.57万元。其中矿产勘查合同5项，涉及合同金额415.22万元；采矿证延续资料编制合同3项，涉及合同金额8.8万元；矿山储量动态检测合同8个，涉及合同金额13.3万元；地质灾害评估、排查及影响论证合同10项，涉及合同金额29.5万元；矿山地质环境保护与土地复垦方案编制合同8项，涉及合同金额95.8万元；工程勘察合同2项，涉及合同金额3.6万；测绘合同3项，涉及合同金额20.35万元。起草并签订其他类合同19项。参与投标项目二十余项，中标7个项目。</w:t>
      </w:r>
    </w:p>
    <w:p>
      <w:pPr>
        <w:pStyle w:val="3"/>
        <w:rPr>
          <w:rStyle w:val="16"/>
          <w:b w:val="0"/>
          <w:bCs w:val="0"/>
        </w:rPr>
      </w:pPr>
      <w:bookmarkStart w:id="24" w:name="_Toc15377200"/>
      <w:bookmarkStart w:id="25" w:name="_Toc18696"/>
      <w:r>
        <w:rPr>
          <w:rFonts w:hint="eastAsia" w:ascii="黑体" w:eastAsia="黑体"/>
          <w:b w:val="0"/>
          <w:color w:val="000000"/>
        </w:rPr>
        <w:t>二、</w:t>
      </w:r>
      <w:r>
        <w:rPr>
          <w:rFonts w:hint="eastAsia" w:ascii="黑体" w:hAnsi="黑体" w:eastAsia="黑体"/>
          <w:b w:val="0"/>
          <w:color w:val="000000"/>
        </w:rPr>
        <w:t>机</w:t>
      </w:r>
      <w:r>
        <w:rPr>
          <w:rStyle w:val="16"/>
          <w:rFonts w:hint="eastAsia" w:ascii="黑体" w:hAnsi="黑体" w:eastAsia="黑体"/>
          <w:b w:val="0"/>
          <w:bCs w:val="0"/>
        </w:rPr>
        <w:t>构设置</w:t>
      </w:r>
      <w:bookmarkEnd w:id="24"/>
      <w:bookmarkEnd w:id="25"/>
    </w:p>
    <w:p>
      <w:pPr>
        <w:ind w:firstLine="800" w:firstLineChars="250"/>
        <w:rPr>
          <w:rFonts w:ascii="仿宋" w:hAnsi="仿宋" w:eastAsia="仿宋"/>
          <w:sz w:val="32"/>
          <w:szCs w:val="32"/>
        </w:rPr>
      </w:pPr>
      <w:r>
        <w:rPr>
          <w:rFonts w:hint="eastAsia" w:ascii="仿宋" w:hAnsi="仿宋" w:eastAsia="仿宋"/>
          <w:sz w:val="32"/>
          <w:szCs w:val="32"/>
        </w:rPr>
        <w:t>四川省化工地质勘查院属一级预算单位，无下属二级预算单位。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5"/>
          <w:rFonts w:ascii="黑体" w:hAnsi="黑体" w:eastAsia="黑体"/>
          <w:b w:val="0"/>
          <w:bCs w:val="0"/>
        </w:rPr>
      </w:pPr>
      <w:bookmarkStart w:id="26" w:name="_Toc15377204"/>
      <w:bookmarkStart w:id="27" w:name="_Toc13393"/>
      <w:r>
        <w:rPr>
          <w:rFonts w:hint="eastAsia" w:ascii="黑体" w:hAnsi="黑体" w:eastAsia="黑体"/>
          <w:b w:val="0"/>
          <w:color w:val="000000"/>
        </w:rPr>
        <w:t>第二部分</w:t>
      </w:r>
      <w:r>
        <w:rPr>
          <w:rStyle w:val="15"/>
          <w:rFonts w:hint="eastAsia" w:ascii="黑体" w:hAnsi="黑体" w:eastAsia="黑体"/>
          <w:b w:val="0"/>
          <w:bCs w:val="0"/>
        </w:rPr>
        <w:t>2018年度部门决算情况说明</w:t>
      </w:r>
      <w:bookmarkEnd w:id="26"/>
      <w:bookmarkEnd w:id="27"/>
    </w:p>
    <w:p/>
    <w:p>
      <w:pPr>
        <w:pStyle w:val="17"/>
        <w:numPr>
          <w:ilvl w:val="0"/>
          <w:numId w:val="2"/>
        </w:numPr>
        <w:spacing w:line="600" w:lineRule="exact"/>
        <w:ind w:firstLineChars="0"/>
        <w:outlineLvl w:val="1"/>
        <w:rPr>
          <w:rStyle w:val="16"/>
          <w:rFonts w:ascii="黑体" w:hAnsi="黑体" w:eastAsia="黑体"/>
          <w:b w:val="0"/>
        </w:rPr>
      </w:pPr>
      <w:bookmarkStart w:id="28" w:name="_Toc181"/>
      <w:bookmarkStart w:id="29" w:name="_Toc15377205"/>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2018年度收入总计1592.71万元，与2017年相比，收入总计减少451.68万元，下降22</w:t>
      </w:r>
      <w:r>
        <w:rPr>
          <w:rFonts w:ascii="仿宋" w:hAnsi="仿宋" w:eastAsia="仿宋"/>
          <w:color w:val="000000"/>
          <w:sz w:val="32"/>
          <w:szCs w:val="32"/>
        </w:rPr>
        <w:t>%</w:t>
      </w:r>
      <w:r>
        <w:rPr>
          <w:rFonts w:hint="eastAsia" w:ascii="仿宋" w:hAnsi="仿宋" w:eastAsia="仿宋"/>
          <w:color w:val="000000"/>
          <w:sz w:val="32"/>
          <w:szCs w:val="32"/>
        </w:rPr>
        <w:t>。主要变动原因是2018年度市场不景气经营收入减少以及单位严格预算压缩日常公用经费。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2018年度支出总计1592.71万元，与2017年相比，支出总计减少451.68万元，下降22%。主要变动原因是2018年度经营收入减少，支出相应减少。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具体变化如下图所示：</w:t>
      </w:r>
    </w:p>
    <w:p>
      <w:pPr>
        <w:spacing w:line="600" w:lineRule="exact"/>
        <w:ind w:firstLine="560" w:firstLineChars="200"/>
        <w:rPr>
          <w:rFonts w:ascii="仿宋" w:hAnsi="仿宋" w:eastAsia="仿宋"/>
          <w:color w:val="000000"/>
          <w:sz w:val="32"/>
          <w:szCs w:val="32"/>
        </w:rPr>
      </w:pPr>
      <w:r>
        <w:rPr>
          <w:rFonts w:ascii="仿宋_GB2312" w:hAnsi="仿宋" w:eastAsia="仿宋_GB2312" w:cs="仿宋"/>
          <w:color w:val="000000"/>
          <w:sz w:val="28"/>
          <w:szCs w:val="28"/>
        </w:rPr>
        <w:pict>
          <v:shape id="_x0000_s1026" o:spid="_x0000_s1026" o:spt="75" type="#_x0000_t75" style="position:absolute;left:0pt;margin-left:-19.7pt;margin-top:17.85pt;height:179.45pt;width:431.1pt;z-index:251659264;mso-width-relative:page;mso-height-relative:page;" o:ole="t" filled="f" o:preferrelative="t" stroked="f" coordsize="21600,21600">
            <v:path/>
            <v:fill on="f" focussize="0,0"/>
            <v:stroke on="f" joinstyle="miter"/>
            <v:imagedata r:id="rId15" o:title=""/>
            <o:lock v:ext="edit" aspectratio="t"/>
          </v:shape>
          <o:OLEObject Type="Embed" ProgID="Excel.Sheet.8" ShapeID="_x0000_s1026" DrawAspect="Content" ObjectID="_1468075725" r:id="rId14">
            <o:LockedField>false</o:LockedField>
          </o:OLEObject>
        </w:pic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hint="eastAsia"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   金额单位：万元 ）</w:t>
      </w:r>
    </w:p>
    <w:p>
      <w:pPr>
        <w:pStyle w:val="17"/>
        <w:numPr>
          <w:ilvl w:val="0"/>
          <w:numId w:val="2"/>
        </w:numPr>
        <w:spacing w:line="600" w:lineRule="exact"/>
        <w:ind w:firstLineChars="0"/>
        <w:outlineLvl w:val="1"/>
        <w:rPr>
          <w:rStyle w:val="16"/>
          <w:rFonts w:ascii="黑体" w:hAnsi="黑体" w:eastAsia="黑体"/>
          <w:b w:val="0"/>
        </w:rPr>
      </w:pPr>
      <w:bookmarkStart w:id="30" w:name="_Toc10112"/>
      <w:bookmarkStart w:id="31" w:name="_Toc15377206"/>
      <w:r>
        <w:rPr>
          <w:rFonts w:hint="eastAsia" w:ascii="黑体" w:hAnsi="黑体" w:eastAsia="黑体"/>
          <w:color w:val="000000"/>
          <w:sz w:val="32"/>
          <w:szCs w:val="32"/>
        </w:rPr>
        <w:t>收</w:t>
      </w:r>
      <w:r>
        <w:rPr>
          <w:rStyle w:val="16"/>
          <w:rFonts w:hint="eastAsia" w:ascii="黑体" w:hAnsi="黑体" w:eastAsia="黑体"/>
          <w:b w:val="0"/>
        </w:rPr>
        <w:t>入决算情况说明</w:t>
      </w:r>
      <w:bookmarkEnd w:id="30"/>
      <w:bookmarkEnd w:id="31"/>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8年本年收入合计2752.82万元，其中：</w:t>
      </w:r>
      <w:r>
        <w:rPr>
          <w:rFonts w:hint="eastAsia" w:ascii="仿宋" w:hAnsi="仿宋" w:eastAsia="仿宋"/>
          <w:color w:val="000000" w:themeColor="text1"/>
          <w:sz w:val="32"/>
          <w:szCs w:val="32"/>
        </w:rPr>
        <w:t>一般公共预算财政拨款收入2497.58万元，占90.73</w:t>
      </w:r>
      <w:r>
        <w:rPr>
          <w:rFonts w:ascii="仿宋" w:hAnsi="仿宋" w:eastAsia="仿宋"/>
          <w:color w:val="000000" w:themeColor="text1"/>
          <w:sz w:val="32"/>
          <w:szCs w:val="32"/>
        </w:rPr>
        <w:t>%</w:t>
      </w:r>
      <w:r>
        <w:rPr>
          <w:rFonts w:hint="eastAsia" w:ascii="仿宋" w:hAnsi="仿宋" w:eastAsia="仿宋"/>
          <w:color w:val="000000" w:themeColor="text1"/>
          <w:sz w:val="32"/>
          <w:szCs w:val="32"/>
        </w:rPr>
        <w:t>；经营收入255.24万元，占9.27</w:t>
      </w:r>
      <w:r>
        <w:rPr>
          <w:rFonts w:ascii="仿宋" w:hAnsi="仿宋" w:eastAsia="仿宋"/>
          <w:color w:val="000000" w:themeColor="text1"/>
          <w:sz w:val="32"/>
          <w:szCs w:val="32"/>
        </w:rPr>
        <w:t>%</w:t>
      </w:r>
      <w:r>
        <w:rPr>
          <w:rFonts w:hint="eastAsia" w:ascii="仿宋" w:hAnsi="仿宋" w:eastAsia="仿宋"/>
          <w:color w:val="000000" w:themeColor="text1"/>
          <w:sz w:val="32"/>
          <w:szCs w:val="32"/>
        </w:rPr>
        <w:t>；如下图所示：</w:t>
      </w:r>
    </w:p>
    <w:p>
      <w:pPr>
        <w:spacing w:line="600" w:lineRule="exact"/>
        <w:ind w:firstLine="640"/>
        <w:rPr>
          <w:rFonts w:ascii="仿宋" w:hAnsi="仿宋" w:eastAsia="仿宋"/>
          <w:color w:val="000000" w:themeColor="text1"/>
          <w:sz w:val="32"/>
          <w:szCs w:val="32"/>
        </w:rPr>
      </w:pPr>
      <w:r>
        <w:rPr>
          <w:rFonts w:hint="eastAsia" w:ascii="仿宋_GB2312" w:eastAsia="仿宋_GB2312"/>
          <w:color w:val="FF0000"/>
          <w:sz w:val="32"/>
          <w:szCs w:val="32"/>
        </w:rPr>
        <w:drawing>
          <wp:anchor distT="0" distB="0" distL="114300" distR="114300" simplePos="0" relativeHeight="251664384" behindDoc="0" locked="0" layoutInCell="1" allowOverlap="1">
            <wp:simplePos x="0" y="0"/>
            <wp:positionH relativeFrom="column">
              <wp:posOffset>566420</wp:posOffset>
            </wp:positionH>
            <wp:positionV relativeFrom="paragraph">
              <wp:posOffset>159385</wp:posOffset>
            </wp:positionV>
            <wp:extent cx="4328160" cy="2959100"/>
            <wp:effectExtent l="4445" t="4445" r="10795" b="825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_GB2312" w:hAnsi="仿宋" w:eastAsia="仿宋_GB2312"/>
          <w:b/>
          <w:sz w:val="32"/>
          <w:szCs w:val="32"/>
        </w:rPr>
        <w:pict>
          <v:shape id="_x0000_s1029" o:spid="_x0000_s1029" o:spt="75" type="#_x0000_t75" style="position:absolute;left:0pt;margin-left:564.15pt;margin-top:276.2pt;height:205.8pt;width:376.85pt;z-index:251662336;mso-width-relative:page;mso-height-relative:page;" o:ole="t" filled="f" o:preferrelative="t" stroked="f" coordsize="21600,21600">
            <v:path/>
            <v:fill on="f" focussize="0,0"/>
            <v:stroke on="f" joinstyle="miter"/>
            <v:imagedata r:id="rId18" o:title=""/>
            <o:lock v:ext="edit" aspectratio="t"/>
          </v:shape>
          <o:OLEObject Type="Embed" ProgID="Excel.Sheet.8" ShapeID="_x0000_s1029" DrawAspect="Content" ObjectID="_1468075726" r:id="rId17">
            <o:LockedField>false</o:LockedField>
          </o:OLEObject>
        </w:pict>
      </w:r>
    </w:p>
    <w:p>
      <w:pPr>
        <w:spacing w:line="600" w:lineRule="exact"/>
        <w:ind w:firstLine="640"/>
        <w:rPr>
          <w:rFonts w:ascii="仿宋" w:hAnsi="仿宋" w:eastAsia="仿宋"/>
          <w:color w:val="000000" w:themeColor="text1"/>
          <w:sz w:val="32"/>
          <w:szCs w:val="32"/>
        </w:rPr>
      </w:pPr>
      <w:r>
        <w:rPr>
          <w:rFonts w:ascii="仿宋_GB2312" w:hAnsi="仿宋" w:eastAsia="仿宋_GB2312"/>
          <w:b/>
          <w:sz w:val="32"/>
          <w:szCs w:val="32"/>
        </w:rPr>
        <w:pict>
          <v:shape id="_x0000_s1027" o:spid="_x0000_s1027" o:spt="75" type="#_x0000_t75" style="position:absolute;left:0pt;margin-left:540.15pt;margin-top:222.2pt;height:205.8pt;width:376.85pt;z-index:251660288;mso-width-relative:page;mso-height-relative:page;" o:ole="t" filled="f" o:preferrelative="t" stroked="f" coordsize="21600,21600">
            <v:path/>
            <v:fill on="f" focussize="0,0"/>
            <v:stroke on="f" joinstyle="miter"/>
            <v:imagedata r:id="rId18" o:title=""/>
            <o:lock v:ext="edit" aspectratio="t"/>
          </v:shape>
          <o:OLEObject Type="Embed" ProgID="Excel.Sheet.8" ShapeID="_x0000_s1027" DrawAspect="Content" ObjectID="_1468075727" r:id="rId19">
            <o:LockedField>false</o:LockedField>
          </o:OLEObject>
        </w:pict>
      </w:r>
    </w:p>
    <w:p>
      <w:pPr>
        <w:spacing w:line="600" w:lineRule="exact"/>
        <w:ind w:firstLine="640"/>
        <w:rPr>
          <w:rFonts w:ascii="仿宋" w:hAnsi="仿宋" w:eastAsia="仿宋"/>
          <w:color w:val="000000" w:themeColor="text1"/>
          <w:sz w:val="32"/>
          <w:szCs w:val="32"/>
        </w:rPr>
      </w:pPr>
      <w:r>
        <w:rPr>
          <w:rFonts w:ascii="仿宋_GB2312" w:hAnsi="仿宋" w:eastAsia="仿宋_GB2312"/>
          <w:b/>
          <w:sz w:val="32"/>
          <w:szCs w:val="32"/>
        </w:rPr>
        <w:pict>
          <v:shape id="_x0000_s1030" o:spid="_x0000_s1030" o:spt="75" type="#_x0000_t75" style="position:absolute;left:0pt;margin-left:550.6pt;margin-top:187pt;height:205.8pt;width:376.85pt;z-index:251663360;mso-width-relative:page;mso-height-relative:page;" o:ole="t" filled="f" o:preferrelative="t" stroked="f" coordsize="21600,21600">
            <v:path/>
            <v:fill on="f" focussize="0,0"/>
            <v:stroke on="f" joinstyle="miter"/>
            <v:imagedata r:id="rId18" o:title=""/>
            <o:lock v:ext="edit" aspectratio="t"/>
          </v:shape>
          <o:OLEObject Type="Embed" ProgID="Excel.Sheet.8" ShapeID="_x0000_s1030" DrawAspect="Content" ObjectID="_1468075728" r:id="rId20">
            <o:LockedField>false</o:LockedField>
          </o:OLEObject>
        </w:pict>
      </w:r>
    </w:p>
    <w:p>
      <w:pPr>
        <w:spacing w:line="600" w:lineRule="exact"/>
        <w:ind w:firstLine="640"/>
        <w:rPr>
          <w:rFonts w:ascii="仿宋" w:hAnsi="仿宋" w:eastAsia="仿宋"/>
          <w:color w:val="000000" w:themeColor="text1"/>
          <w:sz w:val="32"/>
          <w:szCs w:val="32"/>
        </w:rPr>
      </w:pPr>
      <w:r>
        <w:rPr>
          <w:rFonts w:ascii="仿宋_GB2312" w:hAnsi="仿宋" w:eastAsia="仿宋_GB2312"/>
          <w:b/>
          <w:sz w:val="32"/>
          <w:szCs w:val="32"/>
        </w:rPr>
        <w:pict>
          <v:shape id="_x0000_s1028" o:spid="_x0000_s1028" o:spt="75" type="#_x0000_t75" style="position:absolute;left:0pt;margin-left:552.15pt;margin-top:174.2pt;height:205.8pt;width:376.85pt;z-index:251661312;mso-width-relative:page;mso-height-relative:page;" o:ole="t" filled="f" o:preferrelative="t" stroked="f" coordsize="21600,21600">
            <v:path/>
            <v:fill on="f" focussize="0,0"/>
            <v:stroke on="f" joinstyle="miter"/>
            <v:imagedata r:id="rId18" o:title=""/>
            <o:lock v:ext="edit" aspectratio="t"/>
          </v:shape>
          <o:OLEObject Type="Embed" ProgID="Excel.Sheet.8" ShapeID="_x0000_s1028" DrawAspect="Content" ObjectID="_1468075729" r:id="rId21">
            <o:LockedField>false</o:LockedField>
          </o:OLEObject>
        </w:pict>
      </w:r>
    </w:p>
    <w:p>
      <w:pPr>
        <w:spacing w:line="600" w:lineRule="exact"/>
        <w:ind w:firstLine="640" w:firstLineChars="200"/>
        <w:rPr>
          <w:rFonts w:ascii="仿宋_GB2312" w:eastAsia="仿宋_GB2312"/>
          <w:color w:val="FF0000"/>
          <w:sz w:val="32"/>
          <w:szCs w:val="32"/>
        </w:rPr>
      </w:pPr>
    </w:p>
    <w:p>
      <w:pPr>
        <w:tabs>
          <w:tab w:val="left" w:pos="5139"/>
        </w:tabs>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ab/>
      </w:r>
    </w:p>
    <w:p>
      <w:pPr>
        <w:spacing w:line="600" w:lineRule="exact"/>
        <w:ind w:firstLine="640" w:firstLineChars="200"/>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ind w:firstLine="1120" w:firstLineChars="350"/>
        <w:rPr>
          <w:rFonts w:ascii="仿宋_GB2312" w:eastAsia="仿宋_GB2312"/>
          <w:color w:val="FF0000"/>
          <w:sz w:val="32"/>
          <w:szCs w:val="32"/>
        </w:rPr>
      </w:pPr>
      <w:r>
        <w:rPr>
          <w:rFonts w:hint="eastAsia" w:ascii="仿宋" w:hAnsi="仿宋" w:eastAsia="仿宋"/>
          <w:color w:val="000000" w:themeColor="text1"/>
          <w:sz w:val="32"/>
          <w:szCs w:val="32"/>
        </w:rPr>
        <w:t>（图2：收入决算结构图  金额单位：万元）</w:t>
      </w:r>
    </w:p>
    <w:p>
      <w:pPr>
        <w:pStyle w:val="17"/>
        <w:numPr>
          <w:ilvl w:val="0"/>
          <w:numId w:val="2"/>
        </w:numPr>
        <w:spacing w:line="600" w:lineRule="exact"/>
        <w:ind w:firstLineChars="0"/>
        <w:outlineLvl w:val="1"/>
        <w:rPr>
          <w:rStyle w:val="16"/>
          <w:rFonts w:ascii="黑体" w:hAnsi="黑体" w:eastAsia="黑体"/>
          <w:b w:val="0"/>
        </w:rPr>
      </w:pPr>
      <w:bookmarkStart w:id="32" w:name="_Toc11052"/>
      <w:bookmarkStart w:id="33" w:name="_Toc15377207"/>
      <w:r>
        <w:rPr>
          <w:rFonts w:hint="eastAsia" w:ascii="黑体" w:hAnsi="黑体" w:eastAsia="黑体"/>
          <w:color w:val="000000"/>
          <w:sz w:val="32"/>
          <w:szCs w:val="32"/>
        </w:rPr>
        <w:t>支</w:t>
      </w:r>
      <w:r>
        <w:rPr>
          <w:rStyle w:val="16"/>
          <w:rFonts w:hint="eastAsia" w:ascii="黑体" w:hAnsi="黑体" w:eastAsia="黑体"/>
          <w:b w:val="0"/>
        </w:rPr>
        <w:t>出决算情况说明</w:t>
      </w:r>
      <w:bookmarkEnd w:id="32"/>
      <w:bookmarkEnd w:id="33"/>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8年本年支出合计3136.8万元，其中：基本支出2388.58万元，占76.15</w:t>
      </w:r>
      <w:r>
        <w:rPr>
          <w:rFonts w:ascii="仿宋" w:hAnsi="仿宋" w:eastAsia="仿宋"/>
          <w:color w:val="000000"/>
          <w:sz w:val="32"/>
          <w:szCs w:val="32"/>
        </w:rPr>
        <w:t>%</w:t>
      </w:r>
      <w:r>
        <w:rPr>
          <w:rFonts w:hint="eastAsia" w:ascii="仿宋" w:hAnsi="仿宋" w:eastAsia="仿宋"/>
          <w:color w:val="000000"/>
          <w:sz w:val="32"/>
          <w:szCs w:val="32"/>
        </w:rPr>
        <w:t>；项目支出109万元，占3.47</w:t>
      </w:r>
      <w:r>
        <w:rPr>
          <w:rFonts w:ascii="仿宋" w:hAnsi="仿宋" w:eastAsia="仿宋"/>
          <w:color w:val="000000"/>
          <w:sz w:val="32"/>
          <w:szCs w:val="32"/>
        </w:rPr>
        <w:t>%</w:t>
      </w:r>
      <w:r>
        <w:rPr>
          <w:rFonts w:hint="eastAsia" w:ascii="仿宋" w:hAnsi="仿宋" w:eastAsia="仿宋"/>
          <w:color w:val="000000"/>
          <w:sz w:val="32"/>
          <w:szCs w:val="32"/>
        </w:rPr>
        <w:t>；经营支出639.22万元，占20.38</w:t>
      </w:r>
      <w:r>
        <w:rPr>
          <w:rFonts w:ascii="仿宋" w:hAnsi="仿宋" w:eastAsia="仿宋"/>
          <w:color w:val="000000"/>
          <w:sz w:val="32"/>
          <w:szCs w:val="32"/>
        </w:rPr>
        <w:t>%</w:t>
      </w:r>
      <w:r>
        <w:rPr>
          <w:rFonts w:hint="eastAsia" w:ascii="仿宋" w:hAnsi="仿宋" w:eastAsia="仿宋"/>
          <w:color w:val="000000"/>
          <w:sz w:val="32"/>
          <w:szCs w:val="32"/>
        </w:rPr>
        <w:t>。具体占比如下图：</w:t>
      </w:r>
    </w:p>
    <w:p>
      <w:pPr>
        <w:spacing w:line="600" w:lineRule="exact"/>
        <w:ind w:firstLine="643" w:firstLineChars="200"/>
        <w:rPr>
          <w:rFonts w:ascii="仿宋_GB2312" w:eastAsia="仿宋_GB2312"/>
          <w:color w:val="FF0000"/>
          <w:sz w:val="32"/>
          <w:szCs w:val="32"/>
        </w:rPr>
      </w:pPr>
      <w:r>
        <w:rPr>
          <w:rFonts w:hint="eastAsia" w:ascii="仿宋_GB2312" w:hAnsi="仿宋" w:eastAsia="仿宋_GB2312"/>
          <w:b/>
          <w:sz w:val="32"/>
          <w:szCs w:val="32"/>
        </w:rPr>
        <w:drawing>
          <wp:anchor distT="0" distB="0" distL="114300" distR="114300" simplePos="0" relativeHeight="251665408" behindDoc="0" locked="0" layoutInCell="1" allowOverlap="1">
            <wp:simplePos x="0" y="0"/>
            <wp:positionH relativeFrom="column">
              <wp:posOffset>566420</wp:posOffset>
            </wp:positionH>
            <wp:positionV relativeFrom="paragraph">
              <wp:posOffset>131445</wp:posOffset>
            </wp:positionV>
            <wp:extent cx="4282440" cy="2770505"/>
            <wp:effectExtent l="4445" t="5080" r="18415" b="571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ascii="仿宋" w:hAnsi="仿宋" w:eastAsia="仿宋"/>
          <w:color w:val="000000" w:themeColor="text1"/>
          <w:sz w:val="32"/>
          <w:szCs w:val="32"/>
        </w:rPr>
      </w:pPr>
      <w:bookmarkStart w:id="34" w:name="_Toc15377208"/>
    </w:p>
    <w:p>
      <w:pPr>
        <w:spacing w:line="600" w:lineRule="exact"/>
        <w:ind w:firstLine="1280" w:firstLineChars="400"/>
        <w:rPr>
          <w:rFonts w:ascii="黑体" w:hAnsi="黑体" w:eastAsia="黑体"/>
          <w:color w:val="000000"/>
          <w:sz w:val="32"/>
          <w:szCs w:val="32"/>
        </w:rPr>
      </w:pPr>
      <w:r>
        <w:rPr>
          <w:rFonts w:hint="eastAsia" w:ascii="仿宋" w:hAnsi="仿宋" w:eastAsia="仿宋"/>
          <w:color w:val="000000" w:themeColor="text1"/>
          <w:sz w:val="32"/>
          <w:szCs w:val="32"/>
        </w:rPr>
        <w:t>（图3：支出决算结构图  金额单位：万元）</w:t>
      </w:r>
    </w:p>
    <w:p>
      <w:pPr>
        <w:spacing w:line="600" w:lineRule="exact"/>
        <w:ind w:firstLine="640" w:firstLineChars="200"/>
        <w:outlineLvl w:val="1"/>
        <w:rPr>
          <w:rFonts w:ascii="黑体" w:hAnsi="黑体" w:eastAsia="黑体"/>
          <w:color w:val="000000"/>
          <w:sz w:val="32"/>
          <w:szCs w:val="32"/>
        </w:rPr>
      </w:pPr>
    </w:p>
    <w:p>
      <w:pPr>
        <w:spacing w:line="600" w:lineRule="exact"/>
        <w:ind w:firstLine="640" w:firstLineChars="200"/>
        <w:outlineLvl w:val="1"/>
        <w:rPr>
          <w:rStyle w:val="16"/>
          <w:rFonts w:ascii="黑体" w:hAnsi="黑体" w:eastAsia="黑体"/>
          <w:b w:val="0"/>
        </w:rPr>
      </w:pPr>
      <w:bookmarkStart w:id="35" w:name="_Toc9265"/>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34"/>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8年财政拨款收入总计2497.58万元，与</w:t>
      </w:r>
      <w:r>
        <w:rPr>
          <w:rFonts w:ascii="仿宋" w:hAnsi="仿宋" w:eastAsia="仿宋"/>
          <w:color w:val="000000"/>
          <w:sz w:val="32"/>
          <w:szCs w:val="32"/>
        </w:rPr>
        <w:t>201</w:t>
      </w:r>
      <w:r>
        <w:rPr>
          <w:rFonts w:hint="eastAsia" w:ascii="仿宋" w:hAnsi="仿宋" w:eastAsia="仿宋"/>
          <w:color w:val="000000"/>
          <w:sz w:val="32"/>
          <w:szCs w:val="32"/>
        </w:rPr>
        <w:t>7年相比，财政拨款收入总计减少141.92万元，下降5.38</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201</w:t>
      </w:r>
      <w:r>
        <w:rPr>
          <w:rFonts w:hint="eastAsia" w:ascii="仿宋" w:hAnsi="仿宋" w:eastAsia="仿宋"/>
          <w:color w:val="000000"/>
          <w:sz w:val="32"/>
          <w:szCs w:val="32"/>
        </w:rPr>
        <w:t>8年财政拨款支出总计2497.58万元，与</w:t>
      </w:r>
      <w:r>
        <w:rPr>
          <w:rFonts w:ascii="仿宋" w:hAnsi="仿宋" w:eastAsia="仿宋"/>
          <w:color w:val="000000"/>
          <w:sz w:val="32"/>
          <w:szCs w:val="32"/>
        </w:rPr>
        <w:t>201</w:t>
      </w:r>
      <w:r>
        <w:rPr>
          <w:rFonts w:hint="eastAsia" w:ascii="仿宋" w:hAnsi="仿宋" w:eastAsia="仿宋"/>
          <w:color w:val="000000"/>
          <w:sz w:val="32"/>
          <w:szCs w:val="32"/>
        </w:rPr>
        <w:t>7年相比，财政拨款收入总计减少141.92万元，下降5.38</w:t>
      </w:r>
      <w:r>
        <w:rPr>
          <w:rFonts w:ascii="仿宋" w:hAnsi="仿宋" w:eastAsia="仿宋"/>
          <w:color w:val="000000"/>
          <w:sz w:val="32"/>
          <w:szCs w:val="32"/>
        </w:rPr>
        <w:t>%</w:t>
      </w:r>
      <w:r>
        <w:rPr>
          <w:rFonts w:hint="eastAsia" w:ascii="仿宋" w:hAnsi="仿宋" w:eastAsia="仿宋"/>
          <w:color w:val="000000"/>
          <w:sz w:val="32"/>
          <w:szCs w:val="32"/>
        </w:rPr>
        <w:t>。主要变动原因是2018年度压缩日常公用经费。如下图所示：</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B050"/>
          <w:sz w:val="32"/>
          <w:szCs w:val="32"/>
        </w:rPr>
        <w:drawing>
          <wp:anchor distT="0" distB="0" distL="114300" distR="114300" simplePos="0" relativeHeight="251666432" behindDoc="0" locked="0" layoutInCell="1" allowOverlap="1">
            <wp:simplePos x="0" y="0"/>
            <wp:positionH relativeFrom="column">
              <wp:posOffset>200025</wp:posOffset>
            </wp:positionH>
            <wp:positionV relativeFrom="paragraph">
              <wp:posOffset>147320</wp:posOffset>
            </wp:positionV>
            <wp:extent cx="5036820" cy="2857500"/>
            <wp:effectExtent l="5080" t="4445" r="6350"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outlineLvl w:val="1"/>
        <w:rPr>
          <w:rFonts w:ascii="黑体" w:hAnsi="黑体" w:eastAsia="黑体"/>
          <w:color w:val="000000"/>
          <w:sz w:val="32"/>
          <w:szCs w:val="32"/>
        </w:rPr>
      </w:pPr>
      <w:bookmarkStart w:id="36" w:name="_Toc15377209"/>
    </w:p>
    <w:p>
      <w:pPr>
        <w:spacing w:line="600" w:lineRule="exact"/>
        <w:rPr>
          <w:rFonts w:ascii="黑体" w:hAnsi="黑体" w:eastAsia="黑体"/>
          <w:color w:val="000000"/>
          <w:sz w:val="32"/>
          <w:szCs w:val="32"/>
        </w:rPr>
      </w:pPr>
      <w:r>
        <w:rPr>
          <w:rFonts w:hint="eastAsia" w:ascii="仿宋" w:hAnsi="仿宋" w:eastAsia="仿宋"/>
          <w:color w:val="000000" w:themeColor="text1"/>
          <w:sz w:val="32"/>
          <w:szCs w:val="32"/>
        </w:rPr>
        <w:t xml:space="preserve">（图4：财政拨款收、支决算总计变动情况  </w:t>
      </w:r>
      <w:r>
        <w:rPr>
          <w:rFonts w:hint="eastAsia" w:ascii="仿宋" w:hAnsi="仿宋" w:eastAsia="仿宋"/>
          <w:color w:val="000000" w:themeColor="text1"/>
          <w:w w:val="90"/>
          <w:sz w:val="32"/>
          <w:szCs w:val="32"/>
        </w:rPr>
        <w:t>金额单位：万元</w:t>
      </w:r>
      <w:r>
        <w:rPr>
          <w:rFonts w:hint="eastAsia" w:ascii="仿宋" w:hAnsi="仿宋" w:eastAsia="仿宋"/>
          <w:color w:val="000000" w:themeColor="text1"/>
          <w:sz w:val="32"/>
          <w:szCs w:val="32"/>
        </w:rPr>
        <w:t>）</w:t>
      </w:r>
    </w:p>
    <w:p>
      <w:pPr>
        <w:spacing w:line="600" w:lineRule="exact"/>
        <w:ind w:firstLine="640" w:firstLineChars="200"/>
        <w:outlineLvl w:val="1"/>
        <w:rPr>
          <w:rStyle w:val="16"/>
          <w:rFonts w:ascii="黑体" w:hAnsi="黑体" w:eastAsia="黑体"/>
          <w:b w:val="0"/>
        </w:rPr>
      </w:pPr>
      <w:bookmarkStart w:id="37" w:name="_Toc1036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8年一般公共预算财政拨款支出2497.58万元，占本年支出合计的79.62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7年相比，一般公共预算财政拨款减少141.92万元，下降5.38</w:t>
      </w:r>
      <w:r>
        <w:rPr>
          <w:rFonts w:ascii="仿宋" w:hAnsi="仿宋" w:eastAsia="仿宋"/>
          <w:color w:val="000000"/>
          <w:sz w:val="32"/>
          <w:szCs w:val="32"/>
        </w:rPr>
        <w:t>%</w:t>
      </w:r>
      <w:r>
        <w:rPr>
          <w:rFonts w:hint="eastAsia" w:ascii="仿宋" w:hAnsi="仿宋" w:eastAsia="仿宋"/>
          <w:color w:val="000000"/>
          <w:sz w:val="32"/>
          <w:szCs w:val="32"/>
        </w:rPr>
        <w:t>。主要变动原因是2018年度压缩日常公用经费。变化情况如下图：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themeColor="text1"/>
          <w:sz w:val="32"/>
          <w:szCs w:val="32"/>
        </w:rPr>
        <w:drawing>
          <wp:anchor distT="0" distB="0" distL="114300" distR="114300" simplePos="0" relativeHeight="251667456" behindDoc="0" locked="0" layoutInCell="1" allowOverlap="1">
            <wp:simplePos x="0" y="0"/>
            <wp:positionH relativeFrom="column">
              <wp:posOffset>189230</wp:posOffset>
            </wp:positionH>
            <wp:positionV relativeFrom="paragraph">
              <wp:posOffset>163195</wp:posOffset>
            </wp:positionV>
            <wp:extent cx="5080000" cy="2468245"/>
            <wp:effectExtent l="4445" t="4445" r="20955" b="2286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hint="eastAsia" w:ascii="仿宋" w:hAnsi="仿宋" w:eastAsia="仿宋"/>
          <w:color w:val="000000" w:themeColor="text1"/>
          <w:w w:val="85"/>
          <w:sz w:val="32"/>
          <w:szCs w:val="32"/>
        </w:rPr>
        <w:t>图5：一般公共预算财政拨款支出决算变动情况</w:t>
      </w:r>
      <w:r>
        <w:rPr>
          <w:rFonts w:hint="eastAsia" w:ascii="仿宋" w:hAnsi="仿宋" w:eastAsia="仿宋"/>
          <w:color w:val="000000" w:themeColor="text1"/>
          <w:sz w:val="32"/>
          <w:szCs w:val="32"/>
        </w:rPr>
        <w:t xml:space="preserve"> </w:t>
      </w:r>
      <w:r>
        <w:rPr>
          <w:rFonts w:hint="eastAsia" w:ascii="仿宋" w:hAnsi="仿宋" w:eastAsia="仿宋"/>
          <w:color w:val="000000" w:themeColor="text1"/>
          <w:w w:val="85"/>
          <w:sz w:val="32"/>
          <w:szCs w:val="32"/>
        </w:rPr>
        <w:t>金额单位：万元）</w:t>
      </w:r>
    </w:p>
    <w:p>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政拨款支出2497.58万元，主要用于以下方面</w:t>
      </w:r>
      <w:r>
        <w:rPr>
          <w:rFonts w:ascii="仿宋" w:hAnsi="仿宋" w:eastAsia="仿宋"/>
          <w:color w:val="000000" w:themeColor="text1"/>
          <w:sz w:val="32"/>
          <w:szCs w:val="32"/>
        </w:rPr>
        <w:t>:</w:t>
      </w:r>
      <w:r>
        <w:rPr>
          <w:rFonts w:hint="eastAsia" w:ascii="仿宋" w:hAnsi="仿宋" w:eastAsia="仿宋"/>
          <w:color w:val="000000" w:themeColor="text1"/>
          <w:sz w:val="32"/>
          <w:szCs w:val="32"/>
        </w:rPr>
        <w:t>教育支出（类）15万元，占0.6</w:t>
      </w:r>
      <w:r>
        <w:rPr>
          <w:rFonts w:ascii="仿宋" w:hAnsi="仿宋" w:eastAsia="仿宋"/>
          <w:color w:val="000000" w:themeColor="text1"/>
          <w:sz w:val="32"/>
          <w:szCs w:val="32"/>
        </w:rPr>
        <w:t>%</w:t>
      </w:r>
      <w:r>
        <w:rPr>
          <w:rFonts w:hint="eastAsia" w:ascii="仿宋" w:hAnsi="仿宋" w:eastAsia="仿宋"/>
          <w:color w:val="000000" w:themeColor="text1"/>
          <w:sz w:val="32"/>
          <w:szCs w:val="32"/>
        </w:rPr>
        <w:t>；社会保障和就业（类）支出739.58万元，占29.61%；医疗卫生支出70万元，占2.8</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；住房保障支出130万元，占5.21</w:t>
      </w:r>
      <w:r>
        <w:rPr>
          <w:rFonts w:ascii="仿宋" w:hAnsi="仿宋" w:eastAsia="仿宋"/>
          <w:color w:val="000000" w:themeColor="text1"/>
          <w:sz w:val="32"/>
          <w:szCs w:val="32"/>
        </w:rPr>
        <w:t>%</w:t>
      </w:r>
      <w:r>
        <w:rPr>
          <w:rFonts w:hint="eastAsia" w:ascii="仿宋" w:hAnsi="仿宋" w:eastAsia="仿宋"/>
          <w:color w:val="000000" w:themeColor="text1"/>
          <w:sz w:val="32"/>
          <w:szCs w:val="32"/>
        </w:rPr>
        <w:t>；资源勘探信息等支出1543万元，占61.78%。具体占比如下图：</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8480" behindDoc="0" locked="0" layoutInCell="1" allowOverlap="1">
            <wp:simplePos x="0" y="0"/>
            <wp:positionH relativeFrom="column">
              <wp:posOffset>134620</wp:posOffset>
            </wp:positionH>
            <wp:positionV relativeFrom="paragraph">
              <wp:posOffset>1270</wp:posOffset>
            </wp:positionV>
            <wp:extent cx="5080000" cy="2956560"/>
            <wp:effectExtent l="4445" t="4445" r="20955" b="1079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160" w:firstLineChars="50"/>
        <w:rPr>
          <w:rFonts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w w:val="90"/>
          <w:sz w:val="32"/>
          <w:szCs w:val="32"/>
        </w:rPr>
        <w:t>图6：一般公共预算财政拨款支出决算结构</w:t>
      </w:r>
      <w:r>
        <w:rPr>
          <w:rFonts w:hint="eastAsia" w:ascii="仿宋" w:hAnsi="仿宋" w:eastAsia="仿宋"/>
          <w:color w:val="000000"/>
          <w:sz w:val="32"/>
          <w:szCs w:val="32"/>
        </w:rPr>
        <w:t xml:space="preserve"> </w:t>
      </w:r>
      <w:r>
        <w:rPr>
          <w:rFonts w:hint="eastAsia" w:ascii="仿宋" w:hAnsi="仿宋" w:eastAsia="仿宋"/>
          <w:color w:val="000000" w:themeColor="text1"/>
          <w:w w:val="90"/>
          <w:sz w:val="32"/>
          <w:szCs w:val="32"/>
        </w:rPr>
        <w:t>金额单位：万元</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3" w:firstLineChars="200"/>
        <w:outlineLvl w:val="2"/>
        <w:rPr>
          <w:rFonts w:ascii="仿宋" w:hAnsi="仿宋" w:eastAsia="仿宋"/>
          <w:color w:val="FF0000"/>
          <w:sz w:val="32"/>
          <w:szCs w:val="32"/>
        </w:rPr>
      </w:pPr>
      <w:bookmarkStart w:id="41" w:name="_Toc15378460"/>
      <w:bookmarkStart w:id="42" w:name="_Toc15377444"/>
      <w:bookmarkStart w:id="43" w:name="_Toc15377213"/>
      <w:r>
        <w:rPr>
          <w:rStyle w:val="12"/>
          <w:rFonts w:hint="eastAsia" w:ascii="仿宋" w:hAnsi="仿宋" w:eastAsia="仿宋"/>
          <w:bCs/>
          <w:color w:val="000000"/>
          <w:sz w:val="32"/>
          <w:szCs w:val="32"/>
        </w:rPr>
        <w:t>2018年一般公共预算支出决算数为2497.58万元，完成预算100%。其中：</w:t>
      </w:r>
      <w:bookmarkEnd w:id="41"/>
      <w:bookmarkEnd w:id="42"/>
      <w:bookmarkEnd w:id="43"/>
    </w:p>
    <w:p>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rPr>
        <w:t>1</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 xml:space="preserve">教育支出（类）进修及培训（款）培训支出（项）: </w:t>
      </w:r>
      <w:r>
        <w:rPr>
          <w:rStyle w:val="12"/>
          <w:rFonts w:hint="eastAsia" w:ascii="仿宋" w:hAnsi="仿宋" w:eastAsia="仿宋"/>
          <w:b w:val="0"/>
          <w:bCs/>
          <w:color w:val="000000"/>
          <w:sz w:val="32"/>
          <w:szCs w:val="32"/>
        </w:rPr>
        <w:t>支出决算为15万元，完成预算100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社会保障和就业支出（类）行政事业单位离退休（款）事业单位离退休（项）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支出决算为419.19万元，完成预算100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ascii="仿宋" w:hAnsi="仿宋" w:eastAsia="仿宋"/>
          <w:b w:val="0"/>
          <w:bCs/>
          <w:color w:val="000000"/>
          <w:sz w:val="32"/>
          <w:szCs w:val="32"/>
        </w:rPr>
      </w:pPr>
      <w:r>
        <w:rPr>
          <w:rStyle w:val="12"/>
          <w:rFonts w:hint="eastAsia" w:ascii="仿宋" w:hAnsi="仿宋" w:eastAsia="仿宋"/>
          <w:bCs/>
          <w:color w:val="000000"/>
          <w:sz w:val="32"/>
          <w:szCs w:val="32"/>
        </w:rPr>
        <w:t>3.社会保障和就业支出（类）行政事业单位离退休（款）机关事业单位基本养老保险缴费支出（项）：</w:t>
      </w:r>
      <w:r>
        <w:rPr>
          <w:rStyle w:val="12"/>
          <w:rFonts w:hint="eastAsia" w:ascii="仿宋" w:hAnsi="仿宋" w:eastAsia="仿宋"/>
          <w:b w:val="0"/>
          <w:bCs/>
          <w:color w:val="000000"/>
          <w:sz w:val="32"/>
          <w:szCs w:val="32"/>
        </w:rPr>
        <w:t>支出决算数为220万元，完成预算100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ascii="仿宋" w:hAnsi="仿宋" w:eastAsia="仿宋"/>
          <w:bCs/>
          <w:color w:val="000000"/>
          <w:sz w:val="32"/>
          <w:szCs w:val="32"/>
        </w:rPr>
      </w:pPr>
      <w:r>
        <w:rPr>
          <w:rStyle w:val="12"/>
          <w:rFonts w:hint="eastAsia" w:ascii="仿宋" w:hAnsi="仿宋" w:eastAsia="仿宋"/>
          <w:bCs/>
          <w:color w:val="000000"/>
          <w:sz w:val="32"/>
          <w:szCs w:val="32"/>
        </w:rPr>
        <w:t>4.社会保障和就业支出（类）行政事业单位离退休（款）机关事业单位年金缴费支出（项）：</w:t>
      </w:r>
      <w:r>
        <w:rPr>
          <w:rStyle w:val="12"/>
          <w:rFonts w:hint="eastAsia" w:ascii="仿宋" w:hAnsi="仿宋" w:eastAsia="仿宋"/>
          <w:b w:val="0"/>
          <w:bCs/>
          <w:color w:val="000000"/>
          <w:sz w:val="32"/>
          <w:szCs w:val="32"/>
        </w:rPr>
        <w:t>支出决算数为87万元，完成预算100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pacing w:line="600" w:lineRule="exact"/>
        <w:ind w:firstLine="643" w:firstLineChars="200"/>
        <w:rPr>
          <w:rStyle w:val="12"/>
          <w:rFonts w:ascii="仿宋" w:hAnsi="仿宋" w:eastAsia="仿宋"/>
          <w:bCs/>
          <w:color w:val="000000"/>
          <w:sz w:val="32"/>
          <w:szCs w:val="32"/>
        </w:rPr>
      </w:pPr>
      <w:r>
        <w:rPr>
          <w:rStyle w:val="12"/>
          <w:rFonts w:hint="eastAsia" w:ascii="仿宋" w:hAnsi="仿宋" w:eastAsia="仿宋"/>
          <w:bCs/>
          <w:color w:val="000000"/>
          <w:sz w:val="32"/>
          <w:szCs w:val="32"/>
        </w:rPr>
        <w:t>5.社会保障和就业支出（类）其他社会保障和就业支出（款）其他社会保障和就业支出（项）：</w:t>
      </w:r>
      <w:r>
        <w:rPr>
          <w:rStyle w:val="12"/>
          <w:rFonts w:hint="eastAsia" w:ascii="仿宋" w:hAnsi="仿宋" w:eastAsia="仿宋"/>
          <w:b w:val="0"/>
          <w:bCs/>
          <w:color w:val="000000"/>
          <w:sz w:val="32"/>
          <w:szCs w:val="32"/>
        </w:rPr>
        <w:t>支出决算数为13.39万元，完成预算100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，与预算数持平。</w:t>
      </w:r>
    </w:p>
    <w:p>
      <w:pPr>
        <w:shd w:val="clear" w:color="auto" w:fill="FFFFFF"/>
        <w:spacing w:line="560" w:lineRule="atLeast"/>
        <w:ind w:firstLine="643"/>
        <w:rPr>
          <w:rStyle w:val="12"/>
          <w:rFonts w:ascii="仿宋" w:hAnsi="仿宋" w:eastAsia="仿宋"/>
          <w:b w:val="0"/>
          <w:bCs/>
          <w:color w:val="000000"/>
          <w:sz w:val="32"/>
          <w:szCs w:val="32"/>
        </w:rPr>
      </w:pPr>
      <w:r>
        <w:rPr>
          <w:rStyle w:val="12"/>
          <w:rFonts w:ascii="仿宋" w:hAnsi="仿宋" w:eastAsia="仿宋"/>
          <w:bCs/>
          <w:color w:val="000000"/>
          <w:sz w:val="32"/>
          <w:szCs w:val="32"/>
        </w:rPr>
        <w:t>6.</w:t>
      </w:r>
      <w:r>
        <w:rPr>
          <w:rStyle w:val="12"/>
          <w:rFonts w:hint="eastAsia" w:ascii="仿宋" w:hAnsi="仿宋" w:eastAsia="仿宋"/>
          <w:bCs/>
          <w:color w:val="000000"/>
          <w:sz w:val="32"/>
          <w:szCs w:val="32"/>
        </w:rPr>
        <w:t>医疗卫生与计划生育支出（类）行政事业单位医疗（款）事业单位医疗（项）：</w:t>
      </w:r>
      <w:r>
        <w:rPr>
          <w:rStyle w:val="12"/>
          <w:rFonts w:hint="eastAsia" w:ascii="仿宋" w:hAnsi="仿宋" w:eastAsia="仿宋"/>
          <w:b w:val="0"/>
          <w:bCs/>
          <w:color w:val="000000"/>
          <w:sz w:val="32"/>
          <w:szCs w:val="32"/>
        </w:rPr>
        <w:t>支出决算为70万元，完成预算100%，与预算数持平。</w:t>
      </w:r>
    </w:p>
    <w:p>
      <w:pPr>
        <w:shd w:val="clear" w:color="auto" w:fill="FFFFFF"/>
        <w:spacing w:line="560" w:lineRule="atLeast"/>
        <w:ind w:firstLine="643"/>
        <w:rPr>
          <w:rStyle w:val="12"/>
          <w:rFonts w:ascii="仿宋" w:hAnsi="仿宋" w:eastAsia="仿宋"/>
          <w:b w:val="0"/>
          <w:bCs/>
          <w:color w:val="000000"/>
          <w:sz w:val="32"/>
          <w:szCs w:val="32"/>
        </w:rPr>
      </w:pPr>
      <w:r>
        <w:rPr>
          <w:rStyle w:val="12"/>
          <w:rFonts w:hint="eastAsia" w:ascii="仿宋" w:hAnsi="仿宋" w:eastAsia="仿宋"/>
          <w:bCs/>
          <w:color w:val="000000"/>
          <w:sz w:val="32"/>
          <w:szCs w:val="32"/>
        </w:rPr>
        <w:t>7.住房保障支出（类）住房改革支出（款）住房公积金（项）：</w:t>
      </w:r>
      <w:r>
        <w:rPr>
          <w:rStyle w:val="12"/>
          <w:rFonts w:hint="eastAsia" w:ascii="仿宋" w:hAnsi="仿宋" w:eastAsia="仿宋"/>
          <w:b w:val="0"/>
          <w:bCs/>
          <w:color w:val="000000"/>
          <w:sz w:val="32"/>
          <w:szCs w:val="32"/>
        </w:rPr>
        <w:t>支出决算为130万元，完成预算100%，与预算数持平。</w:t>
      </w:r>
    </w:p>
    <w:p>
      <w:pPr>
        <w:shd w:val="clear" w:color="auto" w:fill="FFFFFF"/>
        <w:spacing w:line="560" w:lineRule="atLeast"/>
        <w:ind w:firstLine="643"/>
        <w:rPr>
          <w:rFonts w:ascii="仿宋" w:hAnsi="仿宋" w:eastAsia="仿宋"/>
          <w:b/>
          <w:color w:val="000000"/>
          <w:sz w:val="32"/>
          <w:szCs w:val="32"/>
        </w:rPr>
      </w:pPr>
      <w:r>
        <w:rPr>
          <w:rStyle w:val="12"/>
          <w:rFonts w:hint="eastAsia" w:ascii="仿宋" w:hAnsi="仿宋" w:eastAsia="仿宋"/>
          <w:bCs/>
          <w:color w:val="000000"/>
          <w:sz w:val="32"/>
          <w:szCs w:val="32"/>
        </w:rPr>
        <w:t>8.资源勘探信息等支出（类）资源勘探开发（款）石油和天然气勘探开采（项）：</w:t>
      </w:r>
      <w:r>
        <w:rPr>
          <w:rStyle w:val="12"/>
          <w:rFonts w:hint="eastAsia" w:ascii="仿宋" w:hAnsi="仿宋" w:eastAsia="仿宋"/>
          <w:b w:val="0"/>
          <w:bCs/>
          <w:color w:val="000000"/>
          <w:sz w:val="32"/>
          <w:szCs w:val="32"/>
        </w:rPr>
        <w:t>支出决算为1543万元，完成预算100%，与预算数持平。</w:t>
      </w:r>
    </w:p>
    <w:p>
      <w:pPr>
        <w:tabs>
          <w:tab w:val="right" w:pos="8306"/>
        </w:tabs>
        <w:spacing w:line="600" w:lineRule="exact"/>
        <w:ind w:firstLine="640"/>
        <w:outlineLvl w:val="1"/>
        <w:rPr>
          <w:rStyle w:val="16"/>
        </w:rPr>
      </w:pPr>
      <w:bookmarkStart w:id="44" w:name="_Toc15377214"/>
      <w:bookmarkStart w:id="45" w:name="_Toc6983"/>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6"/>
          <w:rFonts w:hint="eastAsia" w:ascii="黑体" w:hAnsi="黑体" w:eastAsia="黑体"/>
          <w:b w:val="0"/>
        </w:rPr>
        <w:t>般公共预算财政拨款基本支出决算情况说明</w:t>
      </w:r>
      <w:bookmarkEnd w:id="44"/>
      <w:bookmarkEnd w:id="45"/>
      <w:r>
        <w:rPr>
          <w:rStyle w:val="1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8年一般公共预算财政拨款基本支出2388.58万元，其中：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2149.23万元，主要包括：基本工资、津贴补贴、绩效工资、机关事业单位基本养老保险缴费、职业年金缴费、其他社会保障缴费、离休费、生活补助、医疗费、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公用经费239.35万元，主要包括：办公费、咨询费、手续费、水费、电费、邮电费、差旅费、维修（护）费、培训费、劳务费、委托业务费、工会经费、福利费、其他商品和服务支出等。</w:t>
      </w:r>
    </w:p>
    <w:p>
      <w:pPr>
        <w:spacing w:line="600" w:lineRule="exact"/>
        <w:ind w:firstLine="640"/>
        <w:outlineLvl w:val="1"/>
        <w:rPr>
          <w:rStyle w:val="16"/>
          <w:rFonts w:ascii="黑体" w:hAnsi="黑体" w:eastAsia="黑体"/>
          <w:b w:val="0"/>
        </w:rPr>
      </w:pPr>
      <w:bookmarkStart w:id="46" w:name="_Toc15377215"/>
      <w:bookmarkStart w:id="47" w:name="_Toc6870"/>
      <w:r>
        <w:rPr>
          <w:rFonts w:hint="eastAsia" w:ascii="黑体" w:eastAsia="黑体"/>
          <w:color w:val="000000"/>
          <w:sz w:val="32"/>
          <w:szCs w:val="32"/>
        </w:rPr>
        <w:t>七、</w:t>
      </w:r>
      <w:r>
        <w:rPr>
          <w:rStyle w:val="16"/>
          <w:rFonts w:hint="eastAsia" w:ascii="黑体" w:hAnsi="黑体" w:eastAsia="黑体"/>
        </w:rPr>
        <w:t>“</w:t>
      </w:r>
      <w:r>
        <w:rPr>
          <w:rStyle w:val="16"/>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8年“三公”经费财政拨款支出决算为53万元，完成预算100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8年“三公”经费财政拨款支出决算中，无因公出国（境）费支出；公务用车购置及运行维护费支出决算45万元，占84.91</w:t>
      </w:r>
      <w:r>
        <w:rPr>
          <w:rFonts w:ascii="仿宋" w:hAnsi="仿宋" w:eastAsia="仿宋"/>
          <w:color w:val="000000"/>
          <w:sz w:val="32"/>
          <w:szCs w:val="32"/>
        </w:rPr>
        <w:t>%</w:t>
      </w:r>
      <w:r>
        <w:rPr>
          <w:rFonts w:hint="eastAsia" w:ascii="仿宋" w:hAnsi="仿宋" w:eastAsia="仿宋"/>
          <w:color w:val="000000"/>
          <w:sz w:val="32"/>
          <w:szCs w:val="32"/>
        </w:rPr>
        <w:t>；公务接待费支出决算8万元，占15.09</w:t>
      </w:r>
      <w:r>
        <w:rPr>
          <w:rFonts w:ascii="仿宋" w:hAnsi="仿宋" w:eastAsia="仿宋"/>
          <w:color w:val="000000"/>
          <w:sz w:val="32"/>
          <w:szCs w:val="32"/>
        </w:rPr>
        <w:t>%</w:t>
      </w:r>
      <w:r>
        <w:rPr>
          <w:rFonts w:hint="eastAsia" w:ascii="仿宋" w:hAnsi="仿宋" w:eastAsia="仿宋"/>
          <w:color w:val="000000"/>
          <w:sz w:val="32"/>
          <w:szCs w:val="32"/>
        </w:rPr>
        <w:t>。具体占比如下图：</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9504" behindDoc="0" locked="0" layoutInCell="1" allowOverlap="1">
            <wp:simplePos x="0" y="0"/>
            <wp:positionH relativeFrom="column">
              <wp:posOffset>542925</wp:posOffset>
            </wp:positionH>
            <wp:positionV relativeFrom="paragraph">
              <wp:posOffset>-191135</wp:posOffset>
            </wp:positionV>
            <wp:extent cx="4072255" cy="3014980"/>
            <wp:effectExtent l="4445" t="4445" r="19050" b="952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 xml:space="preserve">（图7：“三公”经费财政拨款支出结构  </w:t>
      </w:r>
      <w:r>
        <w:rPr>
          <w:rFonts w:hint="eastAsia" w:ascii="仿宋" w:hAnsi="仿宋" w:eastAsia="仿宋"/>
          <w:color w:val="000000" w:themeColor="text1"/>
          <w:sz w:val="32"/>
          <w:szCs w:val="32"/>
        </w:rPr>
        <w:t>金额单位：万元</w:t>
      </w:r>
      <w:r>
        <w:rPr>
          <w:rFonts w:hint="eastAsia" w:ascii="仿宋" w:hAnsi="仿宋" w:eastAsia="仿宋"/>
          <w:color w:val="000000"/>
          <w:sz w:val="32"/>
          <w:szCs w:val="32"/>
        </w:rPr>
        <w:t>）</w:t>
      </w:r>
    </w:p>
    <w:p>
      <w:pPr>
        <w:spacing w:line="600" w:lineRule="exact"/>
        <w:ind w:firstLine="640"/>
        <w:rPr>
          <w:rStyle w:val="12"/>
          <w:rFonts w:hint="default" w:ascii="仿宋" w:hAnsi="仿宋" w:eastAsia="仿宋"/>
          <w:b w:val="0"/>
          <w:bCs/>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w:t>
      </w:r>
      <w:r>
        <w:rPr>
          <w:rStyle w:val="12"/>
          <w:rFonts w:hint="eastAsia" w:ascii="仿宋" w:hAnsi="仿宋" w:eastAsia="仿宋"/>
          <w:b w:val="0"/>
          <w:bCs/>
          <w:color w:val="000000"/>
          <w:sz w:val="32"/>
          <w:szCs w:val="32"/>
        </w:rPr>
        <w:t>2018年度</w:t>
      </w:r>
      <w:r>
        <w:rPr>
          <w:rStyle w:val="12"/>
          <w:rFonts w:hint="eastAsia" w:ascii="仿宋" w:hAnsi="仿宋" w:eastAsia="仿宋"/>
          <w:b w:val="0"/>
          <w:bCs/>
          <w:color w:val="000000"/>
          <w:sz w:val="32"/>
          <w:szCs w:val="32"/>
          <w:lang w:eastAsia="zh-CN"/>
        </w:rPr>
        <w:t>我院</w:t>
      </w:r>
      <w:r>
        <w:rPr>
          <w:rStyle w:val="12"/>
          <w:rFonts w:hint="eastAsia" w:ascii="仿宋" w:hAnsi="仿宋" w:eastAsia="仿宋"/>
          <w:b w:val="0"/>
          <w:bCs/>
          <w:color w:val="000000"/>
          <w:sz w:val="32"/>
          <w:szCs w:val="32"/>
        </w:rPr>
        <w:t>因公出国（境）</w:t>
      </w:r>
      <w:r>
        <w:rPr>
          <w:rStyle w:val="12"/>
          <w:rFonts w:hint="eastAsia" w:ascii="仿宋" w:hAnsi="仿宋" w:eastAsia="仿宋"/>
          <w:b w:val="0"/>
          <w:bCs/>
          <w:color w:val="000000"/>
          <w:sz w:val="32"/>
          <w:szCs w:val="32"/>
          <w:lang w:eastAsia="zh-CN"/>
        </w:rPr>
        <w:t>经费支出</w:t>
      </w:r>
      <w:r>
        <w:rPr>
          <w:rStyle w:val="12"/>
          <w:rFonts w:hint="eastAsia" w:ascii="仿宋" w:hAnsi="仿宋" w:eastAsia="仿宋"/>
          <w:b w:val="0"/>
          <w:bCs/>
          <w:color w:val="000000"/>
          <w:sz w:val="32"/>
          <w:szCs w:val="32"/>
          <w:lang w:val="en-US" w:eastAsia="zh-CN"/>
        </w:rPr>
        <w:t>0万元</w:t>
      </w:r>
      <w:r>
        <w:rPr>
          <w:rStyle w:val="12"/>
          <w:rFonts w:hint="eastAsia" w:ascii="仿宋" w:hAnsi="仿宋" w:eastAsia="仿宋"/>
          <w:b w:val="0"/>
          <w:bCs/>
          <w:color w:val="000000"/>
          <w:sz w:val="32"/>
          <w:szCs w:val="32"/>
          <w:lang w:eastAsia="zh-CN"/>
        </w:rPr>
        <w:t>。年初预算未安排财政拨款因公出国（境）支出，年度实际未发生财政拨款因公出国（境）支出，完成预算</w:t>
      </w:r>
      <w:r>
        <w:rPr>
          <w:rStyle w:val="12"/>
          <w:rFonts w:hint="eastAsia" w:ascii="仿宋" w:hAnsi="仿宋" w:eastAsia="仿宋"/>
          <w:b w:val="0"/>
          <w:bCs/>
          <w:color w:val="000000"/>
          <w:sz w:val="32"/>
          <w:szCs w:val="32"/>
          <w:lang w:val="en-US" w:eastAsia="zh-CN"/>
        </w:rPr>
        <w:t>100%。全年安排因公出国（境）团组0次，出国（境）0人。因公出国（境）支出决算与2017年一致</w:t>
      </w:r>
      <w:bookmarkStart w:id="80" w:name="_GoBack"/>
      <w:bookmarkEnd w:id="80"/>
      <w:r>
        <w:rPr>
          <w:rStyle w:val="12"/>
          <w:rFonts w:hint="eastAsia" w:ascii="仿宋" w:hAnsi="仿宋" w:eastAsia="仿宋"/>
          <w:b w:val="0"/>
          <w:bCs/>
          <w:color w:val="000000"/>
          <w:sz w:val="32"/>
          <w:szCs w:val="32"/>
          <w:lang w:val="en-US" w:eastAsia="zh-CN"/>
        </w:rPr>
        <w:t>，同比无增减。</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45万元,</w:t>
      </w:r>
      <w:r>
        <w:rPr>
          <w:rStyle w:val="12"/>
          <w:rFonts w:hint="eastAsia" w:ascii="仿宋" w:hAnsi="仿宋" w:eastAsia="仿宋"/>
          <w:b w:val="0"/>
          <w:bCs/>
          <w:color w:val="000000"/>
          <w:sz w:val="32"/>
          <w:szCs w:val="32"/>
        </w:rPr>
        <w:t>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7年减少12.51万元，下降21.75</w:t>
      </w:r>
      <w:r>
        <w:rPr>
          <w:rFonts w:ascii="仿宋_GB2312" w:eastAsia="仿宋_GB2312"/>
          <w:color w:val="000000"/>
          <w:sz w:val="32"/>
          <w:szCs w:val="32"/>
        </w:rPr>
        <w:t>%</w:t>
      </w:r>
      <w:r>
        <w:rPr>
          <w:rFonts w:hint="eastAsia" w:ascii="仿宋_GB2312" w:eastAsia="仿宋_GB2312"/>
          <w:color w:val="000000"/>
          <w:sz w:val="32"/>
          <w:szCs w:val="32"/>
        </w:rPr>
        <w:t>。主要原因是我院严格执行公务用车制度管理，2018年度公务用车量减少。</w:t>
      </w:r>
    </w:p>
    <w:p>
      <w:pPr>
        <w:shd w:val="clear" w:color="auto" w:fill="FFFFFF"/>
        <w:spacing w:line="560" w:lineRule="atLeast"/>
        <w:ind w:firstLine="64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2018年度我院无公务用车购置支出。截至2018年12月底，单位共有公务用车7辆，其中：轿车1辆、越野车3辆、多功能乘用车3辆。</w:t>
      </w:r>
    </w:p>
    <w:p>
      <w:pPr>
        <w:shd w:val="clear" w:color="auto" w:fill="FFFFFF"/>
        <w:spacing w:line="560" w:lineRule="atLeas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45万元。主要用于日常工作、地勘项目、地质环境影响评价、地质灾害危险性评估等工作开展所需的公务用车燃料费、维修费、过路过桥费、保险费等支出。</w:t>
      </w:r>
    </w:p>
    <w:p>
      <w:pPr>
        <w:spacing w:line="600" w:lineRule="exact"/>
        <w:ind w:firstLine="640"/>
        <w:rPr>
          <w:rFonts w:ascii="仿宋_GB2312" w:eastAsia="仿宋_GB2312"/>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8万元，</w:t>
      </w:r>
      <w:r>
        <w:rPr>
          <w:rStyle w:val="12"/>
          <w:rFonts w:hint="eastAsia" w:ascii="仿宋" w:hAnsi="仿宋" w:eastAsia="仿宋"/>
          <w:b w:val="0"/>
          <w:bCs/>
          <w:color w:val="000000"/>
          <w:sz w:val="32"/>
          <w:szCs w:val="32"/>
        </w:rPr>
        <w:t>完成预算100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公务接待费支出决算与2017年度持平。</w:t>
      </w:r>
    </w:p>
    <w:p>
      <w:pPr>
        <w:shd w:val="clear" w:color="auto" w:fill="FFFFFF"/>
        <w:spacing w:line="560" w:lineRule="atLeast"/>
        <w:ind w:firstLine="803"/>
        <w:rPr>
          <w:rFonts w:ascii="仿宋_GB2312" w:eastAsia="仿宋_GB2312"/>
          <w:b/>
          <w:color w:val="000000"/>
          <w:sz w:val="32"/>
          <w:szCs w:val="32"/>
        </w:rPr>
      </w:pPr>
      <w:r>
        <w:rPr>
          <w:rFonts w:hint="eastAsia" w:ascii="仿宋_GB2312" w:eastAsia="仿宋_GB2312"/>
          <w:color w:val="000000"/>
          <w:sz w:val="32"/>
          <w:szCs w:val="32"/>
        </w:rPr>
        <w:t>主要用于执行公务、开展业务活动开支的交通费、住宿费、用餐费等。国内公务接待38批次，360人次（不包括陪同人员），共计支出8万元，具体内容包括：承揽工程业务接待支出3.22万元；业务往来接待支出2.30万元；迎接各项检查支出：1.2万元；社会往来支出：1.28万元。我院无外事接待。</w:t>
      </w:r>
    </w:p>
    <w:p>
      <w:pPr>
        <w:spacing w:line="600" w:lineRule="exact"/>
        <w:ind w:firstLine="640"/>
        <w:outlineLvl w:val="1"/>
        <w:rPr>
          <w:rStyle w:val="16"/>
          <w:rFonts w:ascii="黑体" w:hAnsi="黑体" w:eastAsia="黑体"/>
        </w:rPr>
      </w:pPr>
      <w:bookmarkStart w:id="50" w:name="_Toc15377218"/>
      <w:bookmarkStart w:id="51" w:name="_Toc20344"/>
      <w:r>
        <w:rPr>
          <w:rFonts w:hint="eastAsia" w:ascii="黑体" w:eastAsia="黑体"/>
          <w:color w:val="000000"/>
          <w:sz w:val="32"/>
          <w:szCs w:val="32"/>
        </w:rPr>
        <w:t>八、</w:t>
      </w:r>
      <w:r>
        <w:rPr>
          <w:rStyle w:val="16"/>
          <w:rFonts w:hint="eastAsia" w:ascii="黑体" w:hAnsi="黑体" w:eastAsia="黑体"/>
          <w:b w:val="0"/>
        </w:rPr>
        <w:t>政府性基金预算支出决算情况说明</w:t>
      </w:r>
      <w:bookmarkEnd w:id="50"/>
      <w:bookmarkEnd w:id="51"/>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四川省化工地质勘查院2018年未使用政府性基金预算拨款支出。</w:t>
      </w:r>
    </w:p>
    <w:p>
      <w:pPr>
        <w:numPr>
          <w:ilvl w:val="0"/>
          <w:numId w:val="3"/>
        </w:numPr>
        <w:spacing w:line="600" w:lineRule="exact"/>
        <w:ind w:firstLine="640"/>
        <w:outlineLvl w:val="1"/>
        <w:rPr>
          <w:rStyle w:val="16"/>
          <w:rFonts w:ascii="黑体" w:hAnsi="黑体" w:eastAsia="黑体"/>
          <w:b w:val="0"/>
        </w:rPr>
      </w:pPr>
      <w:bookmarkStart w:id="52" w:name="_Toc15377219"/>
      <w:bookmarkStart w:id="53" w:name="_Toc9743"/>
      <w:r>
        <w:rPr>
          <w:rStyle w:val="16"/>
          <w:rFonts w:hint="eastAsia" w:ascii="黑体" w:hAnsi="黑体" w:eastAsia="黑体"/>
          <w:b w:val="0"/>
        </w:rPr>
        <w:t>国有资本经营预算支出决算情况说明</w:t>
      </w:r>
      <w:bookmarkEnd w:id="52"/>
      <w:bookmarkEnd w:id="53"/>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四川省化工地质勘查院2018年无国有资本经营预算拨款支出。</w:t>
      </w:r>
    </w:p>
    <w:p>
      <w:pPr>
        <w:pStyle w:val="17"/>
        <w:numPr>
          <w:ilvl w:val="0"/>
          <w:numId w:val="4"/>
        </w:numPr>
        <w:spacing w:line="580" w:lineRule="exact"/>
        <w:ind w:firstLineChars="0"/>
        <w:rPr>
          <w:rStyle w:val="16"/>
          <w:rFonts w:ascii="黑体" w:hAnsi="黑体" w:eastAsia="黑体"/>
          <w:b w:val="0"/>
        </w:rPr>
      </w:pPr>
      <w:bookmarkStart w:id="54" w:name="_Toc22915"/>
      <w:r>
        <w:rPr>
          <w:rStyle w:val="16"/>
          <w:rFonts w:hint="eastAsia" w:ascii="黑体" w:hAnsi="黑体" w:eastAsia="黑体"/>
          <w:b w:val="0"/>
        </w:rPr>
        <w:t>预算绩效情况说明</w:t>
      </w:r>
    </w:p>
    <w:bookmarkEnd w:id="54"/>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1.绩效目标管理情况。</w:t>
      </w:r>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按照预算绩效管理要求，我院2018年一般公共预算项目支出未达编制部门预算绩效目标的要求，因此未开展绩效目标管理。</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2.部门整体支出绩效自评开展情况。</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本部门按要求对2018年部门整体支出开展绩效自评，自评得分84分。从评价情况来看存在的问题：主要鉴于地勘事业单位的特殊性质，地勘和事业单位两种财务管理差异的制度冲突，导致单位的财务管理和会计核算无法与事业单位财务管理方法有效协调和统一，以及内控制度建设尚待继续完善。</w:t>
      </w:r>
      <w:r>
        <w:rPr>
          <w:rFonts w:hint="eastAsia" w:ascii="仿宋_GB2312" w:hAnsi="仿宋_GB2312" w:eastAsia="仿宋_GB2312" w:cs="仿宋_GB2312"/>
          <w:sz w:val="32"/>
          <w:szCs w:val="32"/>
          <w:lang w:val="zh-CN"/>
        </w:rPr>
        <w:t>部门预算绩效评价制度建设、资金管理方面有待加强，</w:t>
      </w:r>
      <w:r>
        <w:rPr>
          <w:rFonts w:hint="eastAsia" w:ascii="仿宋_GB2312" w:hAnsi="仿宋_GB2312" w:eastAsia="仿宋_GB2312" w:cs="仿宋_GB2312"/>
          <w:sz w:val="32"/>
          <w:szCs w:val="32"/>
        </w:rPr>
        <w:t>规章制度和内部控制机制不能完全满足单位的管理和发展需求。下一步改进措施</w:t>
      </w:r>
      <w:r>
        <w:rPr>
          <w:rFonts w:hint="eastAsia" w:ascii="仿宋_GB2312" w:hAnsi="仿宋_GB2312" w:eastAsia="仿宋_GB2312" w:cs="仿宋_GB2312"/>
          <w:sz w:val="32"/>
          <w:szCs w:val="32"/>
          <w:lang w:val="zh-CN"/>
        </w:rPr>
        <w:t>继续完善和改进规章制度和内部控制机制，继续细化财政预算项目，加强财政预算的执行，加强财务管理，统筹安排财政拨款和自有经营资金计划，力求均衡执行经费支出。</w:t>
      </w:r>
    </w:p>
    <w:tbl>
      <w:tblPr>
        <w:tblStyle w:val="10"/>
        <w:tblpPr w:leftFromText="180" w:rightFromText="180" w:vertAnchor="text" w:horzAnchor="page" w:tblpX="1692" w:tblpY="536"/>
        <w:tblOverlap w:val="never"/>
        <w:tblW w:w="9420" w:type="dxa"/>
        <w:tblInd w:w="0" w:type="dxa"/>
        <w:tblLayout w:type="fixed"/>
        <w:tblCellMar>
          <w:top w:w="0" w:type="dxa"/>
          <w:left w:w="108" w:type="dxa"/>
          <w:bottom w:w="0" w:type="dxa"/>
          <w:right w:w="108" w:type="dxa"/>
        </w:tblCellMar>
      </w:tblPr>
      <w:tblGrid>
        <w:gridCol w:w="1380"/>
        <w:gridCol w:w="1840"/>
        <w:gridCol w:w="1190"/>
        <w:gridCol w:w="1134"/>
        <w:gridCol w:w="850"/>
        <w:gridCol w:w="3026"/>
      </w:tblGrid>
      <w:tr>
        <w:tblPrEx>
          <w:tblCellMar>
            <w:top w:w="0" w:type="dxa"/>
            <w:left w:w="108" w:type="dxa"/>
            <w:bottom w:w="0" w:type="dxa"/>
            <w:right w:w="108" w:type="dxa"/>
          </w:tblCellMar>
        </w:tblPrEx>
        <w:trPr>
          <w:trHeight w:val="499" w:hRule="atLeast"/>
        </w:trPr>
        <w:tc>
          <w:tcPr>
            <w:tcW w:w="9420" w:type="dxa"/>
            <w:gridSpan w:val="6"/>
            <w:tcBorders>
              <w:top w:val="nil"/>
              <w:left w:val="nil"/>
              <w:bottom w:val="single" w:color="auto" w:sz="4" w:space="0"/>
              <w:right w:val="nil"/>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2018年度省级部门整体支出绩效评价得分表</w:t>
            </w:r>
          </w:p>
        </w:tc>
      </w:tr>
      <w:tr>
        <w:tblPrEx>
          <w:tblCellMar>
            <w:top w:w="0" w:type="dxa"/>
            <w:left w:w="108" w:type="dxa"/>
            <w:bottom w:w="0" w:type="dxa"/>
            <w:right w:w="108" w:type="dxa"/>
          </w:tblCellMar>
        </w:tblPrEx>
        <w:trPr>
          <w:trHeight w:val="499" w:hRule="atLeast"/>
        </w:trPr>
        <w:tc>
          <w:tcPr>
            <w:tcW w:w="44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绩效指标</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指标分值</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得分</w:t>
            </w:r>
          </w:p>
        </w:tc>
        <w:tc>
          <w:tcPr>
            <w:tcW w:w="30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499" w:hRule="atLeast"/>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一级指标</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二级指标</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三级指标</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b/>
                <w:bCs/>
                <w:kern w:val="0"/>
                <w:sz w:val="20"/>
                <w:szCs w:val="20"/>
              </w:rPr>
            </w:pPr>
          </w:p>
        </w:tc>
        <w:tc>
          <w:tcPr>
            <w:tcW w:w="85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b/>
                <w:bCs/>
                <w:kern w:val="0"/>
                <w:sz w:val="20"/>
                <w:szCs w:val="20"/>
              </w:rPr>
            </w:pPr>
          </w:p>
        </w:tc>
        <w:tc>
          <w:tcPr>
            <w:tcW w:w="302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b/>
                <w:bCs/>
                <w:kern w:val="0"/>
                <w:sz w:val="20"/>
                <w:szCs w:val="20"/>
              </w:rPr>
            </w:pPr>
          </w:p>
        </w:tc>
      </w:tr>
      <w:tr>
        <w:tblPrEx>
          <w:tblCellMar>
            <w:top w:w="0" w:type="dxa"/>
            <w:left w:w="108" w:type="dxa"/>
            <w:bottom w:w="0" w:type="dxa"/>
            <w:right w:w="108" w:type="dxa"/>
          </w:tblCellMar>
        </w:tblPrEx>
        <w:trPr>
          <w:trHeight w:val="499"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部门预算管理（60分）</w:t>
            </w:r>
          </w:p>
        </w:tc>
        <w:tc>
          <w:tcPr>
            <w:tcW w:w="1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预算编制（24分）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目标制定</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目标完成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编制准确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预算执行（20分）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支出控制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动态调整</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6</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执行进度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6</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完成结果（16分）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预算完成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违规记录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5</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专项预算管理（20分）</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项目决策（8分）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程序严密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3</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规划合理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3</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结果符合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项目实施（4分）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分配科学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分配及时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完成结果（8分）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预算完成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3</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实施绩效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0</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sz w:val="20"/>
                <w:szCs w:val="20"/>
              </w:rPr>
            </w:pPr>
            <w:r>
              <w:rPr>
                <w:rFonts w:hint="eastAsia"/>
                <w:sz w:val="20"/>
                <w:szCs w:val="20"/>
              </w:rPr>
              <w:t>因单位无100万以上专用项目，按照预算编制要求，无需编制部门预算绩效目标。</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违规记录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绩效结果应用（20分）</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自评质量（4分）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自评准确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4</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信息公开（8分）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目标公开</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0</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sz w:val="20"/>
                <w:szCs w:val="20"/>
              </w:rPr>
            </w:pPr>
            <w:r>
              <w:rPr>
                <w:rFonts w:hint="eastAsia"/>
                <w:sz w:val="20"/>
                <w:szCs w:val="20"/>
              </w:rPr>
              <w:t>因单位无门户网站，未将部门绩效目标向社会公开</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自评公开</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0</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sz w:val="20"/>
                <w:szCs w:val="20"/>
              </w:rPr>
            </w:pPr>
            <w:r>
              <w:rPr>
                <w:rFonts w:hint="eastAsia"/>
                <w:sz w:val="20"/>
                <w:szCs w:val="20"/>
              </w:rPr>
              <w:t>因单位无门户网站，未将部门整体绩效自评情况和自行组织的评价情况向社会公开。</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整改反馈（8分）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结果整改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应用反馈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4</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84</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spacing w:line="560" w:lineRule="exact"/>
        <w:rPr>
          <w:rFonts w:ascii="仿宋_GB2312" w:hAnsi="仿宋_GB2312" w:eastAsia="仿宋_GB2312" w:cs="仿宋_GB2312"/>
          <w:sz w:val="32"/>
          <w:szCs w:val="32"/>
          <w:lang w:val="zh-CN"/>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本部门按要求对2018年部门整体支出绩效评价情况开展自评，《四川省化工地质勘查院2018年部门整体支出绩效评价报告》见附件1。</w:t>
      </w:r>
    </w:p>
    <w:p>
      <w:pPr>
        <w:shd w:val="clear" w:color="auto" w:fill="FFFFFF"/>
        <w:spacing w:line="560" w:lineRule="atLeast"/>
        <w:ind w:firstLine="803"/>
        <w:rPr>
          <w:rFonts w:ascii="仿宋_GB2312" w:eastAsia="仿宋_GB2312"/>
          <w:color w:val="000000"/>
          <w:sz w:val="32"/>
          <w:szCs w:val="32"/>
        </w:rPr>
      </w:pPr>
      <w:r>
        <w:rPr>
          <w:rFonts w:hint="eastAsia" w:ascii="仿宋_GB2312" w:eastAsia="仿宋_GB2312"/>
          <w:color w:val="000000"/>
          <w:sz w:val="32"/>
          <w:szCs w:val="32"/>
        </w:rPr>
        <w:t>我院2018年一般公共预算项目支出未达编制部门预算绩效目标的要求，因此未开展项目绩效目标管理。</w:t>
      </w:r>
    </w:p>
    <w:p>
      <w:pPr>
        <w:spacing w:line="600" w:lineRule="exact"/>
        <w:ind w:firstLine="640" w:firstLineChars="200"/>
        <w:outlineLvl w:val="1"/>
        <w:rPr>
          <w:rStyle w:val="16"/>
          <w:rFonts w:ascii="黑体" w:hAnsi="黑体" w:eastAsia="黑体"/>
        </w:rPr>
      </w:pPr>
      <w:bookmarkStart w:id="55" w:name="_Toc15377221"/>
      <w:bookmarkStart w:id="56" w:name="_Toc7024"/>
      <w:r>
        <w:rPr>
          <w:rFonts w:hint="eastAsia" w:ascii="黑体" w:hAnsi="黑体" w:eastAsia="黑体"/>
          <w:color w:val="000000"/>
          <w:sz w:val="32"/>
          <w:szCs w:val="32"/>
        </w:rPr>
        <w:t>十</w:t>
      </w:r>
      <w:r>
        <w:rPr>
          <w:rStyle w:val="16"/>
          <w:rFonts w:hint="eastAsia" w:ascii="黑体" w:hAnsi="黑体" w:eastAsia="黑体"/>
        </w:rPr>
        <w:t>一、</w:t>
      </w:r>
      <w:r>
        <w:rPr>
          <w:rStyle w:val="16"/>
          <w:rFonts w:hint="eastAsia" w:ascii="黑体" w:hAnsi="黑体" w:eastAsia="黑体"/>
          <w:b w:val="0"/>
        </w:rPr>
        <w:t>其他重要事项的情况说明</w:t>
      </w:r>
      <w:bookmarkEnd w:id="55"/>
      <w:bookmarkEnd w:id="56"/>
    </w:p>
    <w:p>
      <w:pPr>
        <w:spacing w:line="600" w:lineRule="exact"/>
        <w:ind w:firstLine="643" w:firstLineChars="200"/>
        <w:outlineLvl w:val="2"/>
        <w:rPr>
          <w:rFonts w:ascii="仿宋" w:hAnsi="仿宋" w:eastAsia="仿宋"/>
          <w:color w:val="000000"/>
          <w:sz w:val="32"/>
          <w:szCs w:val="32"/>
        </w:rPr>
      </w:pPr>
      <w:bookmarkStart w:id="57" w:name="_Toc15377222"/>
      <w:r>
        <w:rPr>
          <w:rFonts w:hint="eastAsia" w:ascii="仿宋" w:hAnsi="仿宋" w:eastAsia="仿宋"/>
          <w:b/>
          <w:color w:val="000000"/>
          <w:sz w:val="32"/>
          <w:szCs w:val="32"/>
        </w:rPr>
        <w:t>（一）机关运行经费支出情况</w:t>
      </w:r>
      <w:bookmarkEnd w:id="57"/>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2018年四川省化工地质勘查院不涉及机关运行经费支出。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3"/>
      <w:r>
        <w:rPr>
          <w:rFonts w:hint="eastAsia" w:ascii="仿宋" w:hAnsi="仿宋" w:eastAsia="仿宋"/>
          <w:b/>
          <w:color w:val="000000"/>
          <w:sz w:val="32"/>
          <w:szCs w:val="32"/>
        </w:rPr>
        <w:t>（二）政府采购支出情况</w:t>
      </w:r>
      <w:bookmarkEnd w:id="5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四川省化工地质勘查院政府采购支出总额78.79万元，其中：政府采购货物支出56.19万元、政府采购服务支出22.6万元。主要用于公务用车加油、维修及保险。授予中小企业合同金额20万元，占政府采购支出总额的25.38%。</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9" w:name="_Toc15377224"/>
      <w:r>
        <w:rPr>
          <w:rFonts w:hint="eastAsia" w:ascii="仿宋" w:hAnsi="仿宋" w:eastAsia="仿宋"/>
          <w:b/>
          <w:color w:val="000000"/>
          <w:sz w:val="32"/>
          <w:szCs w:val="32"/>
        </w:rPr>
        <w:t>（三）国有资产占有使用情况</w:t>
      </w:r>
      <w:bookmarkEnd w:id="59"/>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日，四川省化工地质勘查院共有车辆7辆，其中：一般公务用车5辆、其他用车2辆，</w:t>
      </w:r>
      <w:r>
        <w:rPr>
          <w:rFonts w:hint="eastAsia" w:ascii="仿宋_GB2312" w:eastAsia="仿宋_GB2312"/>
          <w:color w:val="000000" w:themeColor="text1"/>
          <w:sz w:val="32"/>
          <w:szCs w:val="32"/>
        </w:rPr>
        <w:t>其他用车主要是用于野外物资及设备的运输等；单价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万元以上专用设备2台（套）。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15"/>
          <w:rFonts w:ascii="黑体" w:hAnsi="黑体" w:eastAsia="黑体"/>
          <w:b w:val="0"/>
        </w:rPr>
      </w:pPr>
      <w:bookmarkStart w:id="60" w:name="_Toc15377225"/>
      <w:bookmarkStart w:id="61" w:name="_Toc31487"/>
      <w:r>
        <w:rPr>
          <w:rFonts w:hint="eastAsia" w:ascii="黑体" w:hAnsi="黑体" w:eastAsia="黑体"/>
          <w:b/>
          <w:color w:val="000000"/>
          <w:sz w:val="44"/>
          <w:szCs w:val="44"/>
        </w:rPr>
        <w:t>名</w:t>
      </w:r>
      <w:r>
        <w:rPr>
          <w:rStyle w:val="15"/>
          <w:rFonts w:hint="eastAsia" w:ascii="黑体" w:hAnsi="黑体" w:eastAsia="黑体"/>
          <w:b w:val="0"/>
        </w:rPr>
        <w:t>词解释</w:t>
      </w:r>
      <w:bookmarkEnd w:id="60"/>
      <w:bookmarkEnd w:id="61"/>
    </w:p>
    <w:p>
      <w:pPr>
        <w:spacing w:line="600" w:lineRule="exact"/>
        <w:jc w:val="left"/>
        <w:rPr>
          <w:rFonts w:ascii="宋体"/>
          <w:b/>
          <w:color w:val="000000"/>
          <w:sz w:val="44"/>
          <w:szCs w:val="44"/>
        </w:rPr>
      </w:pPr>
    </w:p>
    <w:p>
      <w:pPr>
        <w:pStyle w:val="1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经营收入：指事业单位在专业业务活动及其辅助活动之外开展非独立核算经营活动取得的收入。</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4.社会保障和就业支出：指政府在社会保障与就业方面的支出。有关事项包括社会保障和就业管理事务、民政管理事务、财政对社会保险基金的补助、行政事业单位离退休、就业补助、抚恤等。</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5.行政事业单位离退休：指用于行政事业单位离退休方面的支出。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6.事业单位离退休：指实行归口管理的事业单位开支的离退休经费。</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7.医疗卫生与计划生育支出：指用于医疗卫生、计划生育等管理事务方面的支出。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8.医疗保障：指用于医疗保障方面的支出。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9.事业单位医疗：指财政部门集中安排的事业单位基本医疗保险缴费经费，未参加医疗保险的事业单位的公费医疗经费，按国家规定享受离休人员待遇人员的医疗经费。</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10.资源勘探信息等支出：指煤炭、石油和天然气、黑色金属、有色金属、非金属矿等资源勘探开发和服务支出。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11.住房保障支出：指政府用于住房方面的支出。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12.住房改革支出：指行政事业单位用财政拨款资金和其他资金等安排的住房改革支出。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13.住房公积金：指行政事业单位按人力资源和社会保障部、财政部规定的基本工资和津贴补贴以及规定比例为职工缴纳的住房公积金。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14.年末结转和结余：指本年度或以前年度预算安排、因客观条件发生变化无法按原计划实施，需延迟到以后年度按有关规定继续使用的资金。</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15.基本支出：指为保障机构正常运转、完成日常工作任务而发生的人员支出和公用支出。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16.项目支出：指在基本支出之外为完成特定行政任务和事业发展目标所发生的支出。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17.经营支出：指事业单位在专业业务活动及其辅助活动之外开展非独立核算经营活动发生的支出。</w:t>
      </w:r>
    </w:p>
    <w:p>
      <w:pPr>
        <w:shd w:val="clear" w:color="auto" w:fill="FFFFFF"/>
        <w:spacing w:line="560" w:lineRule="atLeast"/>
        <w:ind w:firstLine="64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18.“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shd w:val="clear" w:color="auto" w:fill="FFFFFF"/>
        <w:spacing w:line="560" w:lineRule="atLeast"/>
        <w:ind w:firstLine="640"/>
        <w:rPr>
          <w:rFonts w:ascii="仿宋_GB2312" w:hAnsi="Calibri" w:eastAsia="仿宋_GB2312" w:cs="仿宋"/>
          <w:color w:val="000000"/>
          <w:kern w:val="0"/>
          <w:sz w:val="32"/>
          <w:szCs w:val="32"/>
        </w:rPr>
      </w:pPr>
    </w:p>
    <w:p>
      <w:pPr>
        <w:spacing w:line="600" w:lineRule="exact"/>
        <w:outlineLvl w:val="0"/>
        <w:rPr>
          <w:rStyle w:val="15"/>
          <w:rFonts w:ascii="黑体" w:hAnsi="黑体" w:eastAsia="黑体"/>
          <w:b w:val="0"/>
        </w:rPr>
      </w:pPr>
      <w:bookmarkStart w:id="62" w:name="_Toc15377226"/>
      <w:r>
        <w:rPr>
          <w:rFonts w:ascii="宋体"/>
          <w:b/>
          <w:color w:val="000000"/>
          <w:sz w:val="44"/>
          <w:szCs w:val="44"/>
        </w:rPr>
        <w:br w:type="page"/>
      </w:r>
      <w:bookmarkStart w:id="63" w:name="_Toc32192"/>
      <w:r>
        <w:rPr>
          <w:rFonts w:hint="eastAsia" w:ascii="黑体" w:hAnsi="黑体" w:eastAsia="黑体"/>
          <w:color w:val="000000"/>
          <w:sz w:val="44"/>
          <w:szCs w:val="44"/>
        </w:rPr>
        <w:t>第</w:t>
      </w:r>
      <w:r>
        <w:rPr>
          <w:rStyle w:val="15"/>
          <w:rFonts w:hint="eastAsia" w:ascii="黑体" w:hAnsi="黑体" w:eastAsia="黑体"/>
          <w:b w:val="0"/>
        </w:rPr>
        <w:t>四部分 附件</w:t>
      </w:r>
      <w:bookmarkEnd w:id="63"/>
    </w:p>
    <w:p>
      <w:pPr>
        <w:spacing w:line="600" w:lineRule="exact"/>
        <w:jc w:val="center"/>
        <w:outlineLvl w:val="0"/>
        <w:rPr>
          <w:rStyle w:val="15"/>
        </w:rPr>
      </w:pPr>
    </w:p>
    <w:p>
      <w:pPr>
        <w:rPr>
          <w:szCs w:val="21"/>
        </w:rPr>
      </w:pPr>
      <w:bookmarkStart w:id="64" w:name="_Toc7391"/>
      <w:r>
        <w:rPr>
          <w:rStyle w:val="15"/>
          <w:rFonts w:hint="eastAsia" w:ascii="仿宋" w:hAnsi="仿宋" w:eastAsia="仿宋"/>
          <w:b w:val="0"/>
          <w:bCs w:val="0"/>
          <w:sz w:val="32"/>
          <w:szCs w:val="32"/>
        </w:rPr>
        <w:t>附件1</w:t>
      </w:r>
      <w:bookmarkEnd w:id="64"/>
    </w:p>
    <w:p>
      <w:pPr>
        <w:pStyle w:val="19"/>
        <w:spacing w:line="560" w:lineRule="exact"/>
        <w:jc w:val="center"/>
        <w:rPr>
          <w:rFonts w:ascii="方正小标宋简体" w:hAnsi="Times New Roman" w:eastAsia="方正小标宋简体" w:cs="Times New Roman"/>
          <w:color w:val="auto"/>
          <w:kern w:val="2"/>
          <w:sz w:val="44"/>
          <w:szCs w:val="44"/>
        </w:rPr>
      </w:pPr>
      <w:bookmarkStart w:id="65" w:name="OLE_LINK1"/>
      <w:r>
        <w:rPr>
          <w:rFonts w:hint="eastAsia" w:ascii="方正小标宋简体" w:hAnsi="Times New Roman" w:eastAsia="方正小标宋简体" w:cs="Times New Roman"/>
          <w:color w:val="auto"/>
          <w:kern w:val="2"/>
          <w:sz w:val="44"/>
          <w:szCs w:val="44"/>
        </w:rPr>
        <w:t>四川省化工地质勘查院</w:t>
      </w:r>
    </w:p>
    <w:p>
      <w:pPr>
        <w:pStyle w:val="19"/>
        <w:spacing w:line="560" w:lineRule="exact"/>
        <w:jc w:val="center"/>
        <w:rPr>
          <w:rFonts w:ascii="方正小标宋简体" w:hAnsi="Times New Roman" w:eastAsia="方正小标宋简体" w:cs="Times New Roman"/>
          <w:color w:val="auto"/>
          <w:w w:val="95"/>
          <w:kern w:val="2"/>
          <w:sz w:val="44"/>
          <w:szCs w:val="44"/>
        </w:rPr>
      </w:pPr>
      <w:r>
        <w:rPr>
          <w:rFonts w:hint="eastAsia" w:ascii="方正小标宋简体" w:hAnsi="Times New Roman" w:eastAsia="方正小标宋简体" w:cs="Times New Roman"/>
          <w:color w:val="auto"/>
          <w:w w:val="95"/>
          <w:kern w:val="2"/>
          <w:sz w:val="44"/>
          <w:szCs w:val="44"/>
        </w:rPr>
        <w:t>2018</w:t>
      </w:r>
      <w:r>
        <w:rPr>
          <w:rFonts w:hint="eastAsia" w:ascii="方正小标宋简体" w:hAnsi="宋体" w:eastAsia="方正小标宋简体" w:cs="Times New Roman"/>
          <w:color w:val="auto"/>
          <w:w w:val="95"/>
          <w:kern w:val="2"/>
          <w:sz w:val="44"/>
          <w:szCs w:val="44"/>
        </w:rPr>
        <w:t>年度部门整体支出绩效评价自评报告</w:t>
      </w:r>
    </w:p>
    <w:p>
      <w:pPr>
        <w:spacing w:line="560" w:lineRule="exact"/>
        <w:ind w:firstLine="640" w:firstLineChars="200"/>
        <w:rPr>
          <w:rFonts w:ascii="方正仿宋简体" w:eastAsia="方正仿宋简体"/>
          <w:sz w:val="32"/>
          <w:szCs w:val="32"/>
        </w:rPr>
      </w:pPr>
    </w:p>
    <w:bookmarkEnd w:id="65"/>
    <w:p>
      <w:pPr>
        <w:spacing w:line="560" w:lineRule="exact"/>
        <w:ind w:firstLine="643" w:firstLineChars="200"/>
        <w:rPr>
          <w:rFonts w:ascii="黑体" w:eastAsia="黑体"/>
          <w:b/>
          <w:sz w:val="32"/>
          <w:szCs w:val="32"/>
        </w:rPr>
      </w:pPr>
      <w:r>
        <w:rPr>
          <w:rFonts w:hint="eastAsia" w:ascii="黑体" w:eastAsia="黑体"/>
          <w:b/>
          <w:sz w:val="32"/>
          <w:szCs w:val="32"/>
        </w:rPr>
        <w:t>一、部门(单位)概况</w:t>
      </w:r>
    </w:p>
    <w:p>
      <w:pPr>
        <w:spacing w:line="560" w:lineRule="exact"/>
        <w:ind w:firstLine="643" w:firstLineChars="200"/>
        <w:rPr>
          <w:rFonts w:eastAsia="方正仿宋简体"/>
          <w:sz w:val="32"/>
          <w:szCs w:val="32"/>
        </w:rPr>
      </w:pPr>
      <w:r>
        <w:rPr>
          <w:rFonts w:hint="eastAsia" w:ascii="楷体_GB2312" w:eastAsia="楷体_GB2312"/>
          <w:b/>
          <w:sz w:val="32"/>
          <w:szCs w:val="32"/>
        </w:rPr>
        <w:t>（一）机构组成。</w:t>
      </w:r>
      <w:r>
        <w:rPr>
          <w:rFonts w:eastAsia="方正仿宋简体"/>
          <w:sz w:val="32"/>
          <w:szCs w:val="32"/>
        </w:rPr>
        <w:t>四川化工地质勘查院属省一级预算全额拨款地勘事业单位，预算单位代码670，主管部门为四川省经济和信息化</w:t>
      </w:r>
      <w:r>
        <w:rPr>
          <w:rFonts w:hint="eastAsia" w:eastAsia="方正仿宋简体"/>
          <w:sz w:val="32"/>
          <w:szCs w:val="32"/>
        </w:rPr>
        <w:t>厅</w:t>
      </w:r>
      <w:r>
        <w:rPr>
          <w:rFonts w:eastAsia="方正仿宋简体"/>
          <w:sz w:val="32"/>
          <w:szCs w:val="32"/>
        </w:rPr>
        <w:t>。</w:t>
      </w:r>
    </w:p>
    <w:p>
      <w:pPr>
        <w:spacing w:line="560" w:lineRule="exact"/>
        <w:ind w:firstLine="643" w:firstLineChars="200"/>
        <w:rPr>
          <w:rFonts w:eastAsia="方正仿宋简体"/>
          <w:sz w:val="32"/>
          <w:szCs w:val="32"/>
        </w:rPr>
      </w:pPr>
      <w:r>
        <w:rPr>
          <w:rFonts w:hint="eastAsia" w:ascii="仿宋_GB2312" w:eastAsia="仿宋_GB2312"/>
          <w:b/>
          <w:sz w:val="32"/>
          <w:szCs w:val="32"/>
        </w:rPr>
        <w:t>（二）机构职能。</w:t>
      </w:r>
      <w:r>
        <w:rPr>
          <w:rFonts w:eastAsia="方正仿宋简体"/>
          <w:sz w:val="32"/>
          <w:szCs w:val="32"/>
        </w:rPr>
        <w:t>我院主要职能是为国民经济建设，发展需要提供矿产资源保障和各项地质调查服务。承担矿产资源地质调查评价、勘查；水文地质、工程地质、地球地理勘查；地质环境影响评价；地质灾害危险性评估等。</w:t>
      </w:r>
    </w:p>
    <w:p>
      <w:pPr>
        <w:spacing w:before="93" w:line="560" w:lineRule="exact"/>
        <w:ind w:firstLine="643" w:firstLineChars="200"/>
        <w:rPr>
          <w:rFonts w:eastAsia="方正仿宋简体"/>
          <w:sz w:val="32"/>
          <w:szCs w:val="32"/>
          <w:lang w:val="zh-CN"/>
        </w:rPr>
      </w:pPr>
      <w:r>
        <w:rPr>
          <w:rFonts w:hint="eastAsia" w:ascii="楷体_GB2312" w:eastAsia="楷体_GB2312"/>
          <w:b/>
          <w:sz w:val="32"/>
          <w:szCs w:val="32"/>
        </w:rPr>
        <w:t>（三）人员概况。</w:t>
      </w:r>
      <w:r>
        <w:rPr>
          <w:rFonts w:eastAsia="方正仿宋简体"/>
          <w:bCs/>
          <w:sz w:val="32"/>
          <w:szCs w:val="32"/>
        </w:rPr>
        <w:t>截止201</w:t>
      </w:r>
      <w:r>
        <w:rPr>
          <w:rFonts w:hint="eastAsia" w:eastAsia="方正仿宋简体"/>
          <w:bCs/>
          <w:sz w:val="32"/>
          <w:szCs w:val="32"/>
        </w:rPr>
        <w:t>8</w:t>
      </w:r>
      <w:r>
        <w:rPr>
          <w:rFonts w:eastAsia="方正仿宋简体"/>
          <w:bCs/>
          <w:sz w:val="32"/>
          <w:szCs w:val="32"/>
        </w:rPr>
        <w:t>年12月31日，</w:t>
      </w:r>
      <w:r>
        <w:rPr>
          <w:rFonts w:eastAsia="方正仿宋简体"/>
          <w:sz w:val="32"/>
          <w:szCs w:val="32"/>
        </w:rPr>
        <w:t>单位现有职工</w:t>
      </w:r>
      <w:r>
        <w:rPr>
          <w:rFonts w:hint="eastAsia" w:eastAsia="方正仿宋简体"/>
          <w:sz w:val="32"/>
          <w:szCs w:val="32"/>
        </w:rPr>
        <w:t>728</w:t>
      </w:r>
      <w:r>
        <w:rPr>
          <w:rFonts w:eastAsia="方正仿宋简体"/>
          <w:sz w:val="32"/>
          <w:szCs w:val="32"/>
        </w:rPr>
        <w:t>人，其中：在职职工</w:t>
      </w:r>
      <w:r>
        <w:rPr>
          <w:rFonts w:hint="eastAsia" w:eastAsia="方正仿宋简体"/>
          <w:sz w:val="32"/>
          <w:szCs w:val="32"/>
        </w:rPr>
        <w:t>179</w:t>
      </w:r>
      <w:r>
        <w:rPr>
          <w:rFonts w:eastAsia="方正仿宋简体"/>
          <w:sz w:val="32"/>
          <w:szCs w:val="32"/>
        </w:rPr>
        <w:t>人，离休</w:t>
      </w:r>
      <w:r>
        <w:rPr>
          <w:rFonts w:hint="eastAsia" w:eastAsia="方正仿宋简体"/>
          <w:sz w:val="32"/>
          <w:szCs w:val="32"/>
        </w:rPr>
        <w:t>人员2</w:t>
      </w:r>
      <w:r>
        <w:rPr>
          <w:rFonts w:eastAsia="方正仿宋简体"/>
          <w:sz w:val="32"/>
          <w:szCs w:val="32"/>
        </w:rPr>
        <w:t>人，退休</w:t>
      </w:r>
      <w:r>
        <w:rPr>
          <w:rFonts w:hint="eastAsia" w:eastAsia="方正仿宋简体"/>
          <w:sz w:val="32"/>
          <w:szCs w:val="32"/>
        </w:rPr>
        <w:t>人员547人。</w:t>
      </w:r>
    </w:p>
    <w:p>
      <w:pPr>
        <w:widowControl/>
        <w:adjustRightInd w:val="0"/>
        <w:snapToGrid w:val="0"/>
        <w:spacing w:line="560" w:lineRule="exact"/>
        <w:ind w:firstLine="643" w:firstLineChars="200"/>
        <w:jc w:val="left"/>
        <w:rPr>
          <w:rFonts w:ascii="黑体" w:eastAsia="黑体"/>
          <w:b/>
          <w:sz w:val="32"/>
          <w:szCs w:val="32"/>
        </w:rPr>
      </w:pPr>
      <w:r>
        <w:rPr>
          <w:rFonts w:hint="eastAsia" w:ascii="黑体" w:eastAsia="黑体"/>
          <w:b/>
          <w:sz w:val="32"/>
          <w:szCs w:val="32"/>
        </w:rPr>
        <w:t>二、部门财政资金收支情况</w:t>
      </w:r>
    </w:p>
    <w:p>
      <w:pPr>
        <w:spacing w:line="560" w:lineRule="exact"/>
        <w:ind w:firstLine="643" w:firstLineChars="200"/>
        <w:rPr>
          <w:rFonts w:eastAsia="方正仿宋简体"/>
          <w:color w:val="FF0000"/>
          <w:sz w:val="32"/>
          <w:szCs w:val="32"/>
        </w:rPr>
      </w:pPr>
      <w:r>
        <w:rPr>
          <w:rFonts w:hint="eastAsia" w:ascii="楷体_GB2312" w:eastAsia="楷体_GB2312"/>
          <w:b/>
          <w:sz w:val="32"/>
          <w:szCs w:val="32"/>
        </w:rPr>
        <w:t>（一）部门财政资金收入情况。</w:t>
      </w:r>
      <w:r>
        <w:rPr>
          <w:rFonts w:eastAsia="方正仿宋简体"/>
          <w:sz w:val="32"/>
          <w:szCs w:val="32"/>
        </w:rPr>
        <w:t>201</w:t>
      </w:r>
      <w:r>
        <w:rPr>
          <w:rFonts w:hint="eastAsia" w:eastAsia="方正仿宋简体"/>
          <w:sz w:val="32"/>
          <w:szCs w:val="32"/>
        </w:rPr>
        <w:t>8</w:t>
      </w:r>
      <w:r>
        <w:rPr>
          <w:rFonts w:eastAsia="方正仿宋简体"/>
          <w:sz w:val="32"/>
          <w:szCs w:val="32"/>
        </w:rPr>
        <w:t>年财政资金收入总额</w:t>
      </w:r>
      <w:r>
        <w:rPr>
          <w:rFonts w:hint="eastAsia" w:eastAsia="方正仿宋简体"/>
          <w:sz w:val="32"/>
          <w:szCs w:val="32"/>
        </w:rPr>
        <w:t>2497.58</w:t>
      </w:r>
      <w:r>
        <w:rPr>
          <w:rFonts w:eastAsia="方正仿宋简体"/>
          <w:sz w:val="32"/>
          <w:szCs w:val="32"/>
        </w:rPr>
        <w:t>万元</w:t>
      </w:r>
      <w:r>
        <w:rPr>
          <w:rFonts w:eastAsia="方正仿宋简体"/>
          <w:color w:val="000000"/>
          <w:sz w:val="32"/>
          <w:szCs w:val="32"/>
        </w:rPr>
        <w:t>，其中：人员经费补助收入</w:t>
      </w:r>
      <w:r>
        <w:rPr>
          <w:rFonts w:hint="eastAsia" w:eastAsia="方正仿宋简体"/>
          <w:color w:val="000000"/>
          <w:sz w:val="32"/>
          <w:szCs w:val="32"/>
        </w:rPr>
        <w:t>2149.23</w:t>
      </w:r>
      <w:r>
        <w:rPr>
          <w:rFonts w:eastAsia="方正仿宋简体"/>
          <w:color w:val="000000"/>
          <w:sz w:val="32"/>
          <w:szCs w:val="32"/>
        </w:rPr>
        <w:t>万元，日常公用经费补助收入</w:t>
      </w:r>
      <w:r>
        <w:rPr>
          <w:rFonts w:hint="eastAsia" w:eastAsia="方正仿宋简体"/>
          <w:color w:val="000000"/>
          <w:sz w:val="32"/>
          <w:szCs w:val="32"/>
        </w:rPr>
        <w:t>239.35</w:t>
      </w:r>
      <w:r>
        <w:rPr>
          <w:rFonts w:eastAsia="方正仿宋简体"/>
          <w:color w:val="000000"/>
          <w:sz w:val="32"/>
          <w:szCs w:val="32"/>
        </w:rPr>
        <w:t>万元，专项经费补助收入109.19万元。</w:t>
      </w:r>
    </w:p>
    <w:p>
      <w:pPr>
        <w:spacing w:line="560" w:lineRule="exact"/>
        <w:ind w:firstLine="643" w:firstLineChars="200"/>
        <w:rPr>
          <w:rFonts w:eastAsia="方正仿宋简体"/>
          <w:sz w:val="32"/>
          <w:szCs w:val="32"/>
        </w:rPr>
      </w:pPr>
      <w:r>
        <w:rPr>
          <w:rFonts w:hint="eastAsia" w:ascii="仿宋_GB2312" w:eastAsia="仿宋_GB2312"/>
          <w:b/>
          <w:sz w:val="32"/>
          <w:szCs w:val="32"/>
        </w:rPr>
        <w:t>（二）部门财政资金支出情况。</w:t>
      </w:r>
      <w:r>
        <w:rPr>
          <w:rFonts w:eastAsia="方正仿宋简体"/>
          <w:sz w:val="32"/>
          <w:szCs w:val="32"/>
        </w:rPr>
        <w:t>201</w:t>
      </w:r>
      <w:r>
        <w:rPr>
          <w:rFonts w:hint="eastAsia" w:eastAsia="方正仿宋简体"/>
          <w:sz w:val="32"/>
          <w:szCs w:val="32"/>
        </w:rPr>
        <w:t>8</w:t>
      </w:r>
      <w:r>
        <w:rPr>
          <w:rFonts w:eastAsia="方正仿宋简体"/>
          <w:sz w:val="32"/>
          <w:szCs w:val="32"/>
        </w:rPr>
        <w:t>年财政资金支出总额</w:t>
      </w:r>
      <w:r>
        <w:rPr>
          <w:rFonts w:hint="eastAsia" w:eastAsia="方正仿宋简体"/>
          <w:sz w:val="32"/>
          <w:szCs w:val="32"/>
        </w:rPr>
        <w:t>2497.58</w:t>
      </w:r>
      <w:r>
        <w:rPr>
          <w:rFonts w:eastAsia="方正仿宋简体"/>
          <w:sz w:val="32"/>
          <w:szCs w:val="32"/>
        </w:rPr>
        <w:t>万元，主要包括：</w:t>
      </w:r>
    </w:p>
    <w:p>
      <w:pPr>
        <w:spacing w:line="560" w:lineRule="exact"/>
        <w:ind w:firstLine="640" w:firstLineChars="200"/>
        <w:rPr>
          <w:rFonts w:eastAsia="方正仿宋简体"/>
          <w:sz w:val="32"/>
          <w:szCs w:val="32"/>
          <w:lang w:val="zh-CN"/>
        </w:rPr>
      </w:pPr>
      <w:r>
        <w:rPr>
          <w:rFonts w:hint="eastAsia" w:eastAsia="方正仿宋简体"/>
          <w:b/>
          <w:sz w:val="32"/>
          <w:szCs w:val="32"/>
        </w:rPr>
        <w:t>1.</w:t>
      </w:r>
      <w:r>
        <w:rPr>
          <w:rFonts w:eastAsia="方正仿宋简体"/>
          <w:b/>
          <w:sz w:val="32"/>
          <w:szCs w:val="32"/>
        </w:rPr>
        <w:t>资源勘探信息等事项支出</w:t>
      </w:r>
      <w:r>
        <w:rPr>
          <w:rFonts w:hint="eastAsia" w:eastAsia="方正仿宋简体"/>
          <w:b/>
          <w:sz w:val="32"/>
          <w:szCs w:val="32"/>
        </w:rPr>
        <w:t>1558.00</w:t>
      </w:r>
      <w:r>
        <w:rPr>
          <w:rFonts w:eastAsia="方正仿宋简体"/>
          <w:b/>
          <w:sz w:val="32"/>
          <w:szCs w:val="32"/>
        </w:rPr>
        <w:t>万元（含教育支出</w:t>
      </w:r>
      <w:r>
        <w:rPr>
          <w:rFonts w:hint="eastAsia" w:eastAsia="方正仿宋简体"/>
          <w:b/>
          <w:sz w:val="32"/>
          <w:szCs w:val="32"/>
        </w:rPr>
        <w:t>15.00</w:t>
      </w:r>
      <w:r>
        <w:rPr>
          <w:rFonts w:eastAsia="方正仿宋简体"/>
          <w:b/>
          <w:sz w:val="32"/>
          <w:szCs w:val="32"/>
        </w:rPr>
        <w:t>万元）。</w:t>
      </w:r>
      <w:r>
        <w:rPr>
          <w:rFonts w:eastAsia="方正仿宋简体"/>
          <w:sz w:val="32"/>
          <w:szCs w:val="32"/>
          <w:lang w:val="zh-CN"/>
        </w:rPr>
        <w:t>主要用于事业单位人员工资、日常工作、以及多个四川省省级地勘基金项目、地质环境影响评价、地质灾害危险性评估等工作开展，确保单位正常运行</w:t>
      </w:r>
      <w:r>
        <w:rPr>
          <w:rFonts w:hint="eastAsia" w:eastAsia="方正仿宋简体"/>
          <w:sz w:val="32"/>
          <w:szCs w:val="32"/>
          <w:lang w:val="zh-CN"/>
        </w:rPr>
        <w:t>。</w:t>
      </w:r>
    </w:p>
    <w:p>
      <w:pPr>
        <w:spacing w:line="560" w:lineRule="exact"/>
        <w:ind w:firstLine="640" w:firstLineChars="200"/>
        <w:rPr>
          <w:rFonts w:eastAsia="方正仿宋简体"/>
          <w:sz w:val="32"/>
          <w:szCs w:val="32"/>
        </w:rPr>
      </w:pPr>
      <w:r>
        <w:rPr>
          <w:rFonts w:hint="eastAsia" w:eastAsia="方正仿宋简体"/>
          <w:b/>
          <w:sz w:val="32"/>
          <w:szCs w:val="32"/>
        </w:rPr>
        <w:t>2.</w:t>
      </w:r>
      <w:r>
        <w:rPr>
          <w:rFonts w:eastAsia="方正仿宋简体"/>
          <w:b/>
          <w:sz w:val="32"/>
          <w:szCs w:val="32"/>
        </w:rPr>
        <w:t>社会保障和就业支出</w:t>
      </w:r>
      <w:r>
        <w:rPr>
          <w:rFonts w:hint="eastAsia" w:eastAsia="方正仿宋简体"/>
          <w:b/>
          <w:sz w:val="32"/>
          <w:szCs w:val="32"/>
        </w:rPr>
        <w:t>739.58</w:t>
      </w:r>
      <w:r>
        <w:rPr>
          <w:rFonts w:eastAsia="方正仿宋简体"/>
          <w:b/>
          <w:sz w:val="32"/>
          <w:szCs w:val="32"/>
        </w:rPr>
        <w:t>万元</w:t>
      </w:r>
      <w:r>
        <w:rPr>
          <w:rFonts w:hint="eastAsia" w:eastAsia="方正仿宋简体"/>
          <w:b/>
          <w:sz w:val="32"/>
          <w:szCs w:val="32"/>
        </w:rPr>
        <w:t>。</w:t>
      </w:r>
      <w:r>
        <w:rPr>
          <w:rFonts w:eastAsia="方正仿宋简体"/>
          <w:sz w:val="32"/>
          <w:szCs w:val="32"/>
          <w:lang w:val="zh-CN"/>
        </w:rPr>
        <w:t>主要用于事业单位</w:t>
      </w:r>
      <w:r>
        <w:rPr>
          <w:rFonts w:eastAsia="方正仿宋简体"/>
          <w:sz w:val="32"/>
          <w:szCs w:val="32"/>
        </w:rPr>
        <w:t>职工基本养老保险和职业年金缴费支出，离退休人员生活费补贴等支出。</w:t>
      </w:r>
    </w:p>
    <w:p>
      <w:pPr>
        <w:spacing w:line="560" w:lineRule="exact"/>
        <w:ind w:firstLine="640" w:firstLineChars="200"/>
        <w:rPr>
          <w:rFonts w:eastAsia="方正仿宋简体"/>
          <w:sz w:val="32"/>
          <w:szCs w:val="32"/>
          <w:lang w:val="zh-CN"/>
        </w:rPr>
      </w:pPr>
      <w:r>
        <w:rPr>
          <w:rFonts w:hint="eastAsia" w:eastAsia="方正仿宋简体"/>
          <w:b/>
          <w:sz w:val="32"/>
          <w:szCs w:val="32"/>
        </w:rPr>
        <w:t>3.</w:t>
      </w:r>
      <w:r>
        <w:rPr>
          <w:rFonts w:eastAsia="方正仿宋简体"/>
          <w:b/>
          <w:sz w:val="32"/>
          <w:szCs w:val="32"/>
        </w:rPr>
        <w:t>医疗卫生支出</w:t>
      </w:r>
      <w:r>
        <w:rPr>
          <w:rFonts w:hint="eastAsia" w:eastAsia="方正仿宋简体"/>
          <w:b/>
          <w:sz w:val="32"/>
          <w:szCs w:val="32"/>
        </w:rPr>
        <w:t>70.00</w:t>
      </w:r>
      <w:r>
        <w:rPr>
          <w:rFonts w:eastAsia="方正仿宋简体"/>
          <w:b/>
          <w:sz w:val="32"/>
          <w:szCs w:val="32"/>
        </w:rPr>
        <w:t>万元</w:t>
      </w:r>
      <w:r>
        <w:rPr>
          <w:rFonts w:hint="eastAsia" w:eastAsia="方正仿宋简体"/>
          <w:b/>
          <w:sz w:val="32"/>
          <w:szCs w:val="32"/>
        </w:rPr>
        <w:t>。</w:t>
      </w:r>
      <w:r>
        <w:rPr>
          <w:rFonts w:eastAsia="方正仿宋简体"/>
          <w:sz w:val="32"/>
          <w:szCs w:val="32"/>
          <w:lang w:val="zh-CN"/>
        </w:rPr>
        <w:t>主要用于事业单位按照规定标准为职工缴纳的基本医疗保险等支出。</w:t>
      </w:r>
    </w:p>
    <w:p>
      <w:pPr>
        <w:spacing w:line="560" w:lineRule="exact"/>
        <w:ind w:firstLine="640" w:firstLineChars="200"/>
        <w:rPr>
          <w:rFonts w:eastAsia="方正仿宋简体"/>
          <w:sz w:val="32"/>
          <w:szCs w:val="32"/>
        </w:rPr>
      </w:pPr>
      <w:r>
        <w:rPr>
          <w:rFonts w:hint="eastAsia" w:eastAsia="方正仿宋简体"/>
          <w:b/>
          <w:sz w:val="32"/>
          <w:szCs w:val="32"/>
        </w:rPr>
        <w:t>4.</w:t>
      </w:r>
      <w:r>
        <w:rPr>
          <w:rFonts w:eastAsia="方正仿宋简体"/>
          <w:b/>
          <w:sz w:val="32"/>
          <w:szCs w:val="32"/>
        </w:rPr>
        <w:t>住房保障支出</w:t>
      </w:r>
      <w:r>
        <w:rPr>
          <w:rFonts w:hint="eastAsia" w:eastAsia="方正仿宋简体"/>
          <w:b/>
          <w:sz w:val="32"/>
          <w:szCs w:val="32"/>
        </w:rPr>
        <w:t>130</w:t>
      </w:r>
      <w:r>
        <w:rPr>
          <w:rFonts w:eastAsia="方正仿宋简体"/>
          <w:b/>
          <w:sz w:val="32"/>
          <w:szCs w:val="32"/>
        </w:rPr>
        <w:t>.00万元</w:t>
      </w:r>
      <w:r>
        <w:rPr>
          <w:rFonts w:hint="eastAsia" w:eastAsia="方正仿宋简体"/>
          <w:b/>
          <w:sz w:val="32"/>
          <w:szCs w:val="32"/>
        </w:rPr>
        <w:t>。</w:t>
      </w:r>
      <w:r>
        <w:rPr>
          <w:rFonts w:eastAsia="方正仿宋简体"/>
          <w:sz w:val="32"/>
          <w:szCs w:val="32"/>
        </w:rPr>
        <w:t>主要</w:t>
      </w:r>
      <w:r>
        <w:rPr>
          <w:rFonts w:eastAsia="方正仿宋简体"/>
          <w:sz w:val="32"/>
          <w:szCs w:val="32"/>
          <w:lang w:val="zh-CN"/>
        </w:rPr>
        <w:t>用于事业单位按照规定标准为职工缴纳住房公积金等支出</w:t>
      </w:r>
      <w:r>
        <w:rPr>
          <w:rFonts w:eastAsia="方正仿宋简体"/>
          <w:sz w:val="32"/>
          <w:szCs w:val="32"/>
        </w:rPr>
        <w:t>。</w:t>
      </w:r>
    </w:p>
    <w:p>
      <w:pPr>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三、部门整体预算绩效管理情况</w:t>
      </w:r>
    </w:p>
    <w:p>
      <w:pPr>
        <w:widowControl/>
        <w:adjustRightInd w:val="0"/>
        <w:snapToGrid w:val="0"/>
        <w:spacing w:line="560" w:lineRule="exact"/>
        <w:ind w:firstLine="643" w:firstLineChars="200"/>
        <w:jc w:val="left"/>
        <w:rPr>
          <w:rFonts w:ascii="楷体_GB2312" w:eastAsia="楷体_GB2312"/>
          <w:b/>
          <w:sz w:val="32"/>
          <w:szCs w:val="32"/>
        </w:rPr>
      </w:pPr>
      <w:r>
        <w:rPr>
          <w:rFonts w:hint="eastAsia" w:ascii="楷体_GB2312" w:eastAsia="楷体_GB2312"/>
          <w:b/>
          <w:sz w:val="32"/>
          <w:szCs w:val="32"/>
        </w:rPr>
        <w:t>（一）部门预算管理</w:t>
      </w:r>
    </w:p>
    <w:p>
      <w:pPr>
        <w:widowControl/>
        <w:adjustRightInd w:val="0"/>
        <w:snapToGrid w:val="0"/>
        <w:spacing w:line="560" w:lineRule="exact"/>
        <w:ind w:firstLine="640" w:firstLineChars="200"/>
        <w:jc w:val="left"/>
        <w:rPr>
          <w:rFonts w:eastAsia="方正仿宋简体"/>
          <w:sz w:val="32"/>
          <w:szCs w:val="32"/>
        </w:rPr>
      </w:pPr>
      <w:r>
        <w:rPr>
          <w:rFonts w:hint="eastAsia" w:eastAsia="方正仿宋简体"/>
          <w:b/>
          <w:sz w:val="32"/>
          <w:szCs w:val="32"/>
        </w:rPr>
        <w:t>1.绩效</w:t>
      </w:r>
      <w:r>
        <w:rPr>
          <w:rFonts w:eastAsia="方正仿宋简体"/>
          <w:b/>
          <w:sz w:val="32"/>
          <w:szCs w:val="32"/>
        </w:rPr>
        <w:t>目标</w:t>
      </w:r>
      <w:r>
        <w:rPr>
          <w:rFonts w:hint="eastAsia" w:eastAsia="方正仿宋简体"/>
          <w:b/>
          <w:sz w:val="32"/>
          <w:szCs w:val="32"/>
        </w:rPr>
        <w:t>制定</w:t>
      </w:r>
      <w:r>
        <w:rPr>
          <w:rFonts w:eastAsia="方正仿宋简体"/>
          <w:b/>
          <w:sz w:val="32"/>
          <w:szCs w:val="32"/>
        </w:rPr>
        <w:t>。</w:t>
      </w:r>
      <w:r>
        <w:rPr>
          <w:rFonts w:eastAsia="方正仿宋简体"/>
          <w:sz w:val="32"/>
          <w:szCs w:val="32"/>
        </w:rPr>
        <w:t>我院为地勘事业单位，其目标任务制定符合国家产业政策、公益地勘职能定位及其中长期规划。目标任务制定明确，能全面反映部门目标任务完成和预期效益，制定的目标任务较合理，财政资源配置比较合理。</w:t>
      </w:r>
    </w:p>
    <w:p>
      <w:pPr>
        <w:adjustRightInd w:val="0"/>
        <w:snapToGrid w:val="0"/>
        <w:spacing w:line="560" w:lineRule="exact"/>
        <w:ind w:firstLine="640" w:firstLineChars="200"/>
        <w:rPr>
          <w:rFonts w:eastAsia="方正仿宋简体"/>
          <w:sz w:val="32"/>
          <w:szCs w:val="32"/>
          <w:lang w:val="zh-CN"/>
        </w:rPr>
      </w:pPr>
      <w:r>
        <w:rPr>
          <w:rFonts w:hint="eastAsia" w:eastAsia="方正仿宋简体"/>
          <w:b/>
          <w:sz w:val="32"/>
          <w:szCs w:val="32"/>
        </w:rPr>
        <w:t>2.</w:t>
      </w:r>
      <w:r>
        <w:rPr>
          <w:rFonts w:eastAsia="方正仿宋简体"/>
          <w:b/>
          <w:sz w:val="32"/>
          <w:szCs w:val="32"/>
          <w:lang w:val="zh-CN"/>
        </w:rPr>
        <w:t>预算编制情况</w:t>
      </w:r>
      <w:r>
        <w:rPr>
          <w:rFonts w:hint="eastAsia" w:eastAsia="方正仿宋简体"/>
          <w:b/>
          <w:sz w:val="32"/>
          <w:szCs w:val="32"/>
          <w:lang w:val="zh-CN"/>
        </w:rPr>
        <w:t>。</w:t>
      </w:r>
      <w:r>
        <w:rPr>
          <w:rFonts w:eastAsia="方正仿宋简体"/>
          <w:sz w:val="32"/>
          <w:szCs w:val="32"/>
        </w:rPr>
        <w:t>我院严格按照《中华人民共和国预算法》有关规定和</w:t>
      </w:r>
      <w:r>
        <w:rPr>
          <w:rFonts w:hint="eastAsia" w:eastAsia="方正仿宋简体"/>
          <w:sz w:val="32"/>
          <w:szCs w:val="32"/>
        </w:rPr>
        <w:t>《四川省财政厅关于编制省级部门2018-2020年支出规划和2018年部门预算的通知》（川财预〔2017〕104号）</w:t>
      </w:r>
      <w:r>
        <w:rPr>
          <w:rFonts w:eastAsia="方正仿宋简体"/>
          <w:sz w:val="32"/>
          <w:szCs w:val="32"/>
        </w:rPr>
        <w:t>有关要求，根据部门工作任务及相关定额标准进行预算测算，重点内容优先保障安排，体现了部门工作内容的全面情况，预算依据较充分。严格按照省级部门预算编制通知和有关要求，及时完善了人员基础库、项目库等系统信息的维护和报送工作。按照省财政厅下达的预算控制数，结合本部门近年来的实际支出情况，编制并按时报送了本部门201</w:t>
      </w:r>
      <w:r>
        <w:rPr>
          <w:rFonts w:hint="eastAsia" w:eastAsia="方正仿宋简体"/>
          <w:sz w:val="32"/>
          <w:szCs w:val="32"/>
        </w:rPr>
        <w:t>8</w:t>
      </w:r>
      <w:r>
        <w:rPr>
          <w:rFonts w:eastAsia="方正仿宋简体"/>
          <w:sz w:val="32"/>
          <w:szCs w:val="32"/>
        </w:rPr>
        <w:t>年财政预算。</w:t>
      </w:r>
      <w:r>
        <w:rPr>
          <w:rFonts w:eastAsia="方正仿宋简体"/>
          <w:sz w:val="32"/>
          <w:szCs w:val="32"/>
          <w:lang w:val="zh-CN"/>
        </w:rPr>
        <w:t>省人大预工委对我单位的预算草案审查后提出审查意见，我院根据其审查意见做出整改。</w:t>
      </w:r>
    </w:p>
    <w:p>
      <w:pPr>
        <w:adjustRightInd w:val="0"/>
        <w:snapToGrid w:val="0"/>
        <w:spacing w:line="560" w:lineRule="exact"/>
        <w:ind w:firstLine="640" w:firstLineChars="200"/>
        <w:rPr>
          <w:rFonts w:eastAsia="方正仿宋简体"/>
          <w:b/>
          <w:sz w:val="32"/>
          <w:szCs w:val="32"/>
        </w:rPr>
      </w:pPr>
      <w:r>
        <w:rPr>
          <w:rFonts w:hint="eastAsia" w:eastAsia="方正仿宋简体"/>
          <w:b/>
          <w:sz w:val="32"/>
          <w:szCs w:val="32"/>
        </w:rPr>
        <w:t>3.预算执行情况</w:t>
      </w:r>
      <w:r>
        <w:rPr>
          <w:rFonts w:hint="eastAsia" w:eastAsia="方正仿宋简体"/>
          <w:sz w:val="32"/>
          <w:szCs w:val="32"/>
        </w:rPr>
        <w:t>。2018年部门公用经费及非定额公用支出控制在年初预算数以内，决算数与预算数一致。全年</w:t>
      </w:r>
      <w:r>
        <w:rPr>
          <w:rFonts w:eastAsia="方正仿宋简体"/>
          <w:sz w:val="32"/>
          <w:szCs w:val="32"/>
        </w:rPr>
        <w:t>财政预算资金总来源未出现中期评估调整取消情况，以及年末预算结余注销情况。</w:t>
      </w:r>
      <w:r>
        <w:rPr>
          <w:rFonts w:hint="eastAsia" w:eastAsia="方正仿宋简体"/>
          <w:sz w:val="32"/>
          <w:szCs w:val="32"/>
        </w:rPr>
        <w:t>部门预算6、9、11月实际支出执行进度到达目标完成进度。</w:t>
      </w:r>
    </w:p>
    <w:p>
      <w:pPr>
        <w:adjustRightInd w:val="0"/>
        <w:snapToGrid w:val="0"/>
        <w:spacing w:line="560" w:lineRule="exact"/>
        <w:ind w:firstLine="800" w:firstLineChars="250"/>
        <w:rPr>
          <w:rFonts w:eastAsia="方正仿宋简体"/>
          <w:sz w:val="32"/>
          <w:szCs w:val="32"/>
        </w:rPr>
      </w:pPr>
      <w:r>
        <w:rPr>
          <w:rFonts w:hint="eastAsia" w:eastAsia="方正仿宋简体"/>
          <w:b/>
          <w:sz w:val="32"/>
          <w:szCs w:val="32"/>
        </w:rPr>
        <w:t>4．完成结果。</w:t>
      </w:r>
      <w:r>
        <w:rPr>
          <w:rFonts w:hint="eastAsia" w:eastAsia="方正仿宋简体"/>
          <w:sz w:val="32"/>
          <w:szCs w:val="32"/>
        </w:rPr>
        <w:t>部门预算年终预算执行进度为100%。2018年省审计厅对我院2017年度预算执行及决算编制、往来款项结算管理、“三公”经费和会议费等支出事项进行了审计，并发现在预算执行、会计核算、账务处理等方面存在问题。我院已对审计提出的问题非常重视，成立整改工作小组，责成限期对审计提出的问题进行了整改。</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（二）专项预算管理</w:t>
      </w:r>
    </w:p>
    <w:p>
      <w:pPr>
        <w:spacing w:line="560" w:lineRule="exact"/>
        <w:ind w:firstLine="640" w:firstLineChars="200"/>
        <w:rPr>
          <w:rFonts w:eastAsia="方正仿宋简体"/>
          <w:sz w:val="32"/>
          <w:szCs w:val="32"/>
        </w:rPr>
      </w:pPr>
      <w:r>
        <w:rPr>
          <w:rFonts w:hint="eastAsia" w:eastAsia="方正仿宋简体"/>
          <w:b/>
          <w:sz w:val="32"/>
          <w:szCs w:val="32"/>
        </w:rPr>
        <w:t>1、项目决策。</w:t>
      </w:r>
      <w:r>
        <w:rPr>
          <w:rFonts w:hint="eastAsia" w:eastAsia="方正仿宋简体"/>
          <w:sz w:val="32"/>
          <w:szCs w:val="32"/>
        </w:rPr>
        <w:t>我院严格按照《四川省财政厅关于编制省级部门2018-2020年支出规划和2018年部门预算的通知》（川财预〔2017〕104号）</w:t>
      </w:r>
      <w:r>
        <w:rPr>
          <w:rFonts w:eastAsia="方正仿宋简体"/>
          <w:sz w:val="32"/>
          <w:szCs w:val="32"/>
        </w:rPr>
        <w:t>有关要求</w:t>
      </w:r>
      <w:r>
        <w:rPr>
          <w:rFonts w:hint="eastAsia" w:eastAsia="方正仿宋简体"/>
          <w:sz w:val="32"/>
          <w:szCs w:val="32"/>
        </w:rPr>
        <w:t>，对2018-2020年的专项进行了编制。因我院无100万以上的专用项目，按照要求无需编制部门项目预算绩效目标。同时对专项项目的设立进行了评估论证。其专项项目规划符合省委、省政府重大决策部署，项目年度绩效目标与规划一致。项目实际完成任务和效果达到规划预期情况。</w:t>
      </w:r>
    </w:p>
    <w:p>
      <w:pPr>
        <w:spacing w:line="560" w:lineRule="exact"/>
        <w:ind w:firstLine="640" w:firstLineChars="200"/>
        <w:rPr>
          <w:rFonts w:eastAsia="方正仿宋简体"/>
          <w:sz w:val="32"/>
          <w:szCs w:val="32"/>
        </w:rPr>
      </w:pPr>
      <w:r>
        <w:rPr>
          <w:rFonts w:hint="eastAsia" w:eastAsia="方正仿宋简体"/>
          <w:b/>
          <w:sz w:val="32"/>
          <w:szCs w:val="32"/>
        </w:rPr>
        <w:t>2.项目实施</w:t>
      </w:r>
      <w:r>
        <w:rPr>
          <w:rFonts w:eastAsia="方正仿宋简体"/>
          <w:b/>
          <w:sz w:val="32"/>
          <w:szCs w:val="32"/>
        </w:rPr>
        <w:t>。</w:t>
      </w:r>
      <w:r>
        <w:rPr>
          <w:rFonts w:eastAsia="方正仿宋简体"/>
          <w:sz w:val="32"/>
          <w:szCs w:val="32"/>
        </w:rPr>
        <w:t>我院无其他下属事业单位，不存在专项资金分配问题。</w:t>
      </w:r>
    </w:p>
    <w:p>
      <w:pPr>
        <w:spacing w:line="560" w:lineRule="exact"/>
        <w:ind w:firstLine="640" w:firstLineChars="200"/>
        <w:rPr>
          <w:rFonts w:eastAsia="方正仿宋简体"/>
          <w:sz w:val="32"/>
          <w:szCs w:val="32"/>
        </w:rPr>
      </w:pPr>
      <w:r>
        <w:rPr>
          <w:rFonts w:hint="eastAsia" w:eastAsia="方正仿宋简体"/>
          <w:b/>
          <w:sz w:val="32"/>
          <w:szCs w:val="32"/>
        </w:rPr>
        <w:t>3.完成结果</w:t>
      </w:r>
      <w:r>
        <w:rPr>
          <w:rFonts w:eastAsia="方正仿宋简体"/>
          <w:b/>
          <w:sz w:val="32"/>
          <w:szCs w:val="32"/>
        </w:rPr>
        <w:t>。</w:t>
      </w:r>
      <w:r>
        <w:rPr>
          <w:rFonts w:hint="eastAsia" w:eastAsia="方正仿宋简体"/>
          <w:sz w:val="32"/>
          <w:szCs w:val="32"/>
        </w:rPr>
        <w:t>我院2018年度4月完成政府采购程序，6月完成专用设备的购置工作，将采购的钻探专用设备用于峨边钻探工作。因我院无100万以上的专用项目，按照要求未实施部门项目预算绩效目标的评价工作。</w:t>
      </w:r>
    </w:p>
    <w:p>
      <w:pPr>
        <w:widowControl/>
        <w:spacing w:line="560" w:lineRule="exact"/>
        <w:ind w:firstLine="643" w:firstLineChars="200"/>
        <w:jc w:val="left"/>
        <w:rPr>
          <w:rFonts w:ascii="楷体_GB2312" w:eastAsia="楷体_GB2312"/>
          <w:b/>
          <w:sz w:val="32"/>
          <w:szCs w:val="32"/>
        </w:rPr>
      </w:pPr>
      <w:r>
        <w:rPr>
          <w:rFonts w:hint="eastAsia" w:ascii="楷体_GB2312" w:eastAsia="楷体_GB2312"/>
          <w:b/>
          <w:sz w:val="32"/>
          <w:szCs w:val="32"/>
        </w:rPr>
        <w:t>（三）绩效结果应用情况</w:t>
      </w:r>
    </w:p>
    <w:p>
      <w:pPr>
        <w:spacing w:after="240"/>
        <w:ind w:firstLine="640" w:firstLineChars="200"/>
        <w:rPr>
          <w:rFonts w:eastAsia="方正仿宋简体"/>
          <w:sz w:val="32"/>
          <w:szCs w:val="32"/>
        </w:rPr>
      </w:pPr>
      <w:r>
        <w:rPr>
          <w:rFonts w:eastAsia="方正仿宋简体"/>
          <w:b/>
          <w:sz w:val="32"/>
          <w:szCs w:val="32"/>
        </w:rPr>
        <w:t>1.</w:t>
      </w:r>
      <w:r>
        <w:rPr>
          <w:rFonts w:hint="eastAsia" w:eastAsia="方正仿宋简体"/>
          <w:b/>
          <w:sz w:val="32"/>
          <w:szCs w:val="32"/>
        </w:rPr>
        <w:t>自评质量</w:t>
      </w:r>
      <w:r>
        <w:rPr>
          <w:rFonts w:eastAsia="方正仿宋简体"/>
          <w:b/>
          <w:sz w:val="32"/>
          <w:szCs w:val="32"/>
        </w:rPr>
        <w:t>。</w:t>
      </w:r>
      <w:r>
        <w:rPr>
          <w:rFonts w:hint="eastAsia" w:eastAsia="方正仿宋简体"/>
          <w:sz w:val="32"/>
          <w:szCs w:val="32"/>
        </w:rPr>
        <w:t>按照要求对我院2018年部门整体支出目标进行了自评，基本完成年度目标。</w:t>
      </w:r>
      <w:r>
        <w:rPr>
          <w:rFonts w:eastAsia="方正仿宋简体"/>
          <w:sz w:val="32"/>
          <w:szCs w:val="32"/>
        </w:rPr>
        <w:t>主要</w:t>
      </w:r>
      <w:r>
        <w:rPr>
          <w:rFonts w:hint="eastAsia" w:eastAsia="方正仿宋简体"/>
          <w:sz w:val="32"/>
          <w:szCs w:val="32"/>
        </w:rPr>
        <w:t>工作完成情况：1、数量指标：完成各类地质勘查工作项目设计及报告，详查设计2个、详查报告3个、勘探报告2个、矿山储量报告80个、地质测量水文社会招拍挂项目5-10个；各类地质灾害危险性评估、矿山土地复垦方案报告 20个；测绘类工作,完成建设用地1:500地形图测绘669875㎡1004.8亩、1:2000地形测绘图20平方公里；实验室完成样品测试1000余件，其中包括黏土矿、磷矿、灰岩、铁矿、铅锌矿以及水样检测等工作。2、质量指标：内检合格率达98%以上，外检合格率达100%，各类报告完成率98%以上。3、经济效益指标：由于地勘行业受大环境的影响，其收入总额及实现利润未完成年初预算的目标；在确保固定资产净值和实现职工人均年收入方面，均完成年初预算目标。4、社会效益：重视民生，丰富职工群众生活，让全院职工群众共享发展成果；做好离退休人员的管理和服务工作；</w:t>
      </w:r>
      <w:r>
        <w:rPr>
          <w:rFonts w:eastAsia="方正仿宋简体"/>
          <w:sz w:val="32"/>
          <w:szCs w:val="32"/>
        </w:rPr>
        <w:t>通过多种途径和方法培养人才，组织各种专业技术人才外出培训，定期组织开展干部培训，提升干部职工工作技能</w:t>
      </w:r>
      <w:r>
        <w:rPr>
          <w:rFonts w:hint="eastAsia" w:eastAsia="方正仿宋简体"/>
          <w:sz w:val="32"/>
          <w:szCs w:val="32"/>
        </w:rPr>
        <w:t>；进一步深入推进精准扶贫、精准脱贫，新选派了3名驻村干部，加大了对小方城村的产业帮扶力度，重点协助该村发展特色种植业、养殖业和旅游业。5、可持续影响：为适应地勘行业发展需求，拓宽现有业务范围，提高市场竞争力，提升化勘院整体盈利能力。我院拟独资出资，成立四川九峰地质工程勘察有限公司，主营业务为工程勘察所涉及勘查类专业技术工作；6、公众满意度：</w:t>
      </w:r>
      <w:r>
        <w:rPr>
          <w:rFonts w:eastAsia="方正仿宋简体"/>
          <w:sz w:val="32"/>
          <w:szCs w:val="32"/>
        </w:rPr>
        <w:t>我院部门协作好，满意度高，客户满意度达到95.00%</w:t>
      </w:r>
      <w:r>
        <w:rPr>
          <w:rFonts w:hint="eastAsia" w:eastAsia="方正仿宋简体"/>
          <w:sz w:val="32"/>
          <w:szCs w:val="32"/>
        </w:rPr>
        <w:t>。</w:t>
      </w:r>
    </w:p>
    <w:p>
      <w:pPr>
        <w:spacing w:after="240"/>
        <w:ind w:firstLine="640" w:firstLineChars="200"/>
        <w:rPr>
          <w:rFonts w:eastAsia="方正仿宋简体"/>
          <w:sz w:val="32"/>
          <w:szCs w:val="32"/>
        </w:rPr>
      </w:pPr>
      <w:r>
        <w:rPr>
          <w:rFonts w:hint="eastAsia" w:eastAsia="方正仿宋简体"/>
          <w:b/>
          <w:sz w:val="32"/>
          <w:szCs w:val="32"/>
        </w:rPr>
        <w:t>2．信息公开</w:t>
      </w:r>
      <w:r>
        <w:rPr>
          <w:rFonts w:hint="eastAsia" w:eastAsia="方正仿宋简体"/>
          <w:sz w:val="32"/>
          <w:szCs w:val="32"/>
        </w:rPr>
        <w:t>。按照要求，应将部门绩效目标、部门整体绩效自评情况和自行组织的评价情况面向社会公开。因单位无门户网站，其预算、决算公开均由财政厅代为公开，故未将部门整体绩效自评情况和自行组织的评价情况向社会公开。</w:t>
      </w:r>
    </w:p>
    <w:p>
      <w:pPr>
        <w:spacing w:after="240"/>
        <w:ind w:firstLine="640" w:firstLineChars="200"/>
        <w:rPr>
          <w:rFonts w:eastAsia="方正仿宋简体"/>
          <w:sz w:val="32"/>
          <w:szCs w:val="32"/>
        </w:rPr>
      </w:pPr>
      <w:r>
        <w:rPr>
          <w:rFonts w:hint="eastAsia" w:eastAsia="方正仿宋简体"/>
          <w:b/>
          <w:sz w:val="32"/>
          <w:szCs w:val="32"/>
        </w:rPr>
        <w:t>3.整改反馈。</w:t>
      </w:r>
      <w:r>
        <w:rPr>
          <w:rFonts w:hint="eastAsia" w:eastAsia="方正仿宋简体"/>
          <w:sz w:val="32"/>
          <w:szCs w:val="32"/>
        </w:rPr>
        <w:t>财政厅对我院2018年度绩效评价提出整改问题，要求对绩效目标进行公开。我院按要求已对其整改结果更行了及时反馈。</w:t>
      </w:r>
    </w:p>
    <w:p>
      <w:pPr>
        <w:spacing w:line="560" w:lineRule="exact"/>
        <w:ind w:firstLine="643" w:firstLineChars="200"/>
        <w:rPr>
          <w:rFonts w:ascii="黑体" w:eastAsia="黑体"/>
          <w:b/>
          <w:sz w:val="32"/>
          <w:szCs w:val="32"/>
        </w:rPr>
      </w:pPr>
      <w:r>
        <w:rPr>
          <w:rFonts w:hint="eastAsia" w:ascii="黑体" w:eastAsia="黑体"/>
          <w:b/>
          <w:sz w:val="32"/>
          <w:szCs w:val="32"/>
        </w:rPr>
        <w:t>四、评价结论及建议</w:t>
      </w:r>
    </w:p>
    <w:p>
      <w:pPr>
        <w:adjustRightInd w:val="0"/>
        <w:snapToGrid w:val="0"/>
        <w:spacing w:line="560"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（一）评价结论</w:t>
      </w:r>
    </w:p>
    <w:p>
      <w:pPr>
        <w:spacing w:line="560" w:lineRule="exact"/>
        <w:ind w:firstLine="640" w:firstLineChars="200"/>
        <w:rPr>
          <w:rFonts w:eastAsia="方正仿宋简体"/>
          <w:sz w:val="32"/>
          <w:szCs w:val="32"/>
        </w:rPr>
      </w:pPr>
      <w:r>
        <w:rPr>
          <w:rFonts w:eastAsia="方正仿宋简体"/>
          <w:sz w:val="32"/>
          <w:szCs w:val="32"/>
        </w:rPr>
        <w:t>按照《201</w:t>
      </w:r>
      <w:r>
        <w:rPr>
          <w:rFonts w:hint="eastAsia" w:eastAsia="方正仿宋简体"/>
          <w:sz w:val="32"/>
          <w:szCs w:val="32"/>
        </w:rPr>
        <w:t>9</w:t>
      </w:r>
      <w:r>
        <w:rPr>
          <w:rFonts w:eastAsia="方正仿宋简体"/>
          <w:sz w:val="32"/>
          <w:szCs w:val="32"/>
        </w:rPr>
        <w:t>年省级部门支出绩效评价指标体系》进行自评，我院201</w:t>
      </w:r>
      <w:r>
        <w:rPr>
          <w:rFonts w:hint="eastAsia" w:eastAsia="方正仿宋简体"/>
          <w:sz w:val="32"/>
          <w:szCs w:val="32"/>
        </w:rPr>
        <w:t>8</w:t>
      </w:r>
      <w:r>
        <w:rPr>
          <w:rFonts w:eastAsia="方正仿宋简体"/>
          <w:sz w:val="32"/>
          <w:szCs w:val="32"/>
        </w:rPr>
        <w:t>年部门支出绩效评价总分</w:t>
      </w:r>
      <w:r>
        <w:rPr>
          <w:rFonts w:hint="eastAsia" w:eastAsia="方正仿宋简体"/>
          <w:sz w:val="32"/>
          <w:szCs w:val="32"/>
        </w:rPr>
        <w:t>100</w:t>
      </w:r>
      <w:r>
        <w:rPr>
          <w:rFonts w:eastAsia="方正仿宋简体"/>
          <w:sz w:val="32"/>
          <w:szCs w:val="32"/>
        </w:rPr>
        <w:t>分，自评得分</w:t>
      </w:r>
      <w:r>
        <w:rPr>
          <w:rFonts w:hint="eastAsia" w:eastAsia="方正仿宋简体"/>
          <w:sz w:val="32"/>
          <w:szCs w:val="32"/>
        </w:rPr>
        <w:t>84</w:t>
      </w:r>
      <w:r>
        <w:rPr>
          <w:rFonts w:eastAsia="方正仿宋简体"/>
          <w:sz w:val="32"/>
          <w:szCs w:val="32"/>
        </w:rPr>
        <w:t>分。可见，我院能按照财政经费预算和执行等管理要求，开展相应专门工作，满足其工作时效性、准确性、合规性和合法性要求。确保职工队伍稳定、机构日常运转和事业发展目标全面完成，</w:t>
      </w:r>
      <w:r>
        <w:rPr>
          <w:rFonts w:eastAsia="方正仿宋简体"/>
          <w:sz w:val="32"/>
          <w:szCs w:val="32"/>
          <w:lang w:val="zh-CN"/>
        </w:rPr>
        <w:t>基本</w:t>
      </w:r>
      <w:r>
        <w:rPr>
          <w:rFonts w:eastAsia="方正仿宋简体"/>
          <w:sz w:val="32"/>
          <w:szCs w:val="32"/>
        </w:rPr>
        <w:t>达到财政资金支出预算的预期绩效目标。</w:t>
      </w:r>
    </w:p>
    <w:p>
      <w:pPr>
        <w:adjustRightInd w:val="0"/>
        <w:snapToGrid w:val="0"/>
        <w:spacing w:line="560"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（二）存在问题</w:t>
      </w:r>
    </w:p>
    <w:p>
      <w:pPr>
        <w:spacing w:line="560" w:lineRule="exact"/>
        <w:ind w:firstLine="640" w:firstLineChars="200"/>
        <w:rPr>
          <w:rFonts w:eastAsia="方正仿宋简体"/>
          <w:sz w:val="32"/>
          <w:szCs w:val="32"/>
        </w:rPr>
      </w:pPr>
      <w:r>
        <w:rPr>
          <w:rFonts w:eastAsia="方正仿宋简体"/>
          <w:sz w:val="32"/>
          <w:szCs w:val="32"/>
        </w:rPr>
        <w:t>主要鉴于地勘事业单位的特殊性质，地勘和事业单位两种财务管理差异的制度冲突，导致单位的财务管理和会计核算无法与事业单位财务管理方法有效协调和统一，以及内控制度建设尚待继续完善。</w:t>
      </w:r>
      <w:r>
        <w:rPr>
          <w:rFonts w:eastAsia="方正仿宋简体"/>
          <w:sz w:val="32"/>
          <w:szCs w:val="32"/>
          <w:lang w:val="zh-CN"/>
        </w:rPr>
        <w:t>部门预算绩效评价制度建设、资金管理方面有待加强，</w:t>
      </w:r>
      <w:r>
        <w:rPr>
          <w:rFonts w:eastAsia="方正仿宋简体"/>
          <w:sz w:val="32"/>
          <w:szCs w:val="32"/>
        </w:rPr>
        <w:t>规章制度和内部控制机制不能完全满足单位的管理和发展需求。</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lang w:val="zh-CN"/>
        </w:rPr>
        <w:t>（三）改进建议</w:t>
      </w:r>
    </w:p>
    <w:p>
      <w:pPr>
        <w:spacing w:line="560" w:lineRule="exact"/>
        <w:ind w:firstLine="640" w:firstLineChars="200"/>
        <w:rPr>
          <w:rFonts w:eastAsia="方正仿宋简体"/>
          <w:sz w:val="32"/>
          <w:szCs w:val="32"/>
        </w:rPr>
      </w:pPr>
      <w:r>
        <w:rPr>
          <w:rFonts w:eastAsia="方正仿宋简体"/>
          <w:sz w:val="32"/>
          <w:szCs w:val="32"/>
        </w:rPr>
        <w:t>继续完善和改进规章制度和内部控制机制，继续细化财政预算项目，加强财政预算的执行，加强财务管理，统筹安排财政拨款和自有经营资金计划，力求均衡执行经费支出。积极发挥地质专业优势，为四川省经济建设发展的需要提供矿产资源保障，继续为国家地质勘查工作做出应有的贡献。</w:t>
      </w:r>
    </w:p>
    <w:p>
      <w:pPr>
        <w:spacing w:line="560" w:lineRule="exact"/>
        <w:ind w:firstLine="640" w:firstLineChars="200"/>
        <w:rPr>
          <w:rFonts w:eastAsia="方正仿宋简体"/>
          <w:sz w:val="32"/>
          <w:szCs w:val="32"/>
        </w:rPr>
      </w:pPr>
    </w:p>
    <w:p>
      <w:pPr>
        <w:ind w:firstLine="640" w:firstLineChars="200"/>
        <w:rPr>
          <w:rFonts w:eastAsia="方正仿宋简体"/>
          <w:sz w:val="32"/>
          <w:szCs w:val="32"/>
        </w:rPr>
      </w:pPr>
      <w:r>
        <w:rPr>
          <w:rFonts w:eastAsia="方正仿宋简体"/>
          <w:sz w:val="32"/>
          <w:szCs w:val="32"/>
        </w:rPr>
        <w:t>附件：201</w:t>
      </w:r>
      <w:r>
        <w:rPr>
          <w:rFonts w:hint="eastAsia" w:eastAsia="方正仿宋简体"/>
          <w:sz w:val="32"/>
          <w:szCs w:val="32"/>
        </w:rPr>
        <w:t>8</w:t>
      </w:r>
      <w:r>
        <w:rPr>
          <w:rFonts w:eastAsia="方正仿宋简体"/>
          <w:sz w:val="32"/>
          <w:szCs w:val="32"/>
        </w:rPr>
        <w:t>年省级部门支出绩效评价得分表</w:t>
      </w:r>
    </w:p>
    <w:p>
      <w:pPr>
        <w:spacing w:line="560" w:lineRule="exact"/>
        <w:ind w:firstLine="160" w:firstLineChars="50"/>
        <w:rPr>
          <w:rFonts w:eastAsia="方正仿宋简体"/>
          <w:sz w:val="32"/>
          <w:szCs w:val="32"/>
        </w:rPr>
      </w:pPr>
    </w:p>
    <w:p>
      <w:pPr>
        <w:spacing w:line="560" w:lineRule="exact"/>
        <w:ind w:right="630" w:rightChars="300" w:firstLine="561"/>
        <w:jc w:val="right"/>
        <w:rPr>
          <w:rFonts w:ascii="宋体" w:hAnsi="宋体"/>
          <w:sz w:val="28"/>
          <w:szCs w:val="28"/>
        </w:rPr>
      </w:pPr>
    </w:p>
    <w:p>
      <w:pPr>
        <w:spacing w:line="560" w:lineRule="exact"/>
        <w:ind w:firstLine="4480" w:firstLineChars="1400"/>
        <w:rPr>
          <w:rFonts w:eastAsia="方正仿宋简体"/>
          <w:sz w:val="32"/>
          <w:szCs w:val="32"/>
        </w:rPr>
      </w:pPr>
      <w:r>
        <w:rPr>
          <w:rFonts w:eastAsia="方正仿宋简体"/>
          <w:sz w:val="32"/>
          <w:szCs w:val="32"/>
        </w:rPr>
        <w:t xml:space="preserve">四川省化工地质勘查院 </w:t>
      </w:r>
    </w:p>
    <w:p>
      <w:pPr>
        <w:spacing w:line="760" w:lineRule="exact"/>
        <w:ind w:right="840" w:rightChars="400" w:firstLine="640" w:firstLineChars="200"/>
        <w:jc w:val="right"/>
        <w:rPr>
          <w:rFonts w:eastAsia="方正仿宋简体"/>
          <w:sz w:val="32"/>
          <w:szCs w:val="32"/>
        </w:rPr>
      </w:pPr>
      <w:r>
        <w:rPr>
          <w:rFonts w:eastAsia="方正仿宋简体"/>
          <w:sz w:val="32"/>
          <w:szCs w:val="32"/>
        </w:rPr>
        <w:t>201</w:t>
      </w:r>
      <w:r>
        <w:rPr>
          <w:rFonts w:hint="eastAsia" w:eastAsia="方正仿宋简体"/>
          <w:sz w:val="32"/>
          <w:szCs w:val="32"/>
        </w:rPr>
        <w:t>9</w:t>
      </w:r>
      <w:r>
        <w:rPr>
          <w:rFonts w:eastAsia="方正仿宋简体"/>
          <w:sz w:val="32"/>
          <w:szCs w:val="32"/>
        </w:rPr>
        <w:t>年</w:t>
      </w:r>
      <w:r>
        <w:rPr>
          <w:rFonts w:hint="eastAsia" w:eastAsia="方正仿宋简体"/>
          <w:sz w:val="32"/>
          <w:szCs w:val="32"/>
        </w:rPr>
        <w:t>6</w:t>
      </w:r>
      <w:r>
        <w:rPr>
          <w:rFonts w:eastAsia="方正仿宋简体"/>
          <w:sz w:val="32"/>
          <w:szCs w:val="32"/>
        </w:rPr>
        <w:t>月</w:t>
      </w:r>
      <w:r>
        <w:rPr>
          <w:rFonts w:hint="eastAsia" w:eastAsia="方正仿宋简体"/>
          <w:sz w:val="32"/>
          <w:szCs w:val="32"/>
        </w:rPr>
        <w:t>18</w:t>
      </w:r>
      <w:r>
        <w:rPr>
          <w:rFonts w:eastAsia="方正仿宋简体"/>
          <w:sz w:val="32"/>
          <w:szCs w:val="32"/>
        </w:rPr>
        <w:t>日</w:t>
      </w:r>
    </w:p>
    <w:p>
      <w:pPr>
        <w:rPr>
          <w:rFonts w:ascii="仿宋_GB2312"/>
          <w:sz w:val="28"/>
          <w:szCs w:val="28"/>
        </w:rPr>
      </w:pPr>
    </w:p>
    <w:tbl>
      <w:tblPr>
        <w:tblStyle w:val="10"/>
        <w:tblW w:w="9420" w:type="dxa"/>
        <w:tblInd w:w="93" w:type="dxa"/>
        <w:tblLayout w:type="fixed"/>
        <w:tblCellMar>
          <w:top w:w="0" w:type="dxa"/>
          <w:left w:w="108" w:type="dxa"/>
          <w:bottom w:w="0" w:type="dxa"/>
          <w:right w:w="108" w:type="dxa"/>
        </w:tblCellMar>
      </w:tblPr>
      <w:tblGrid>
        <w:gridCol w:w="1380"/>
        <w:gridCol w:w="1840"/>
        <w:gridCol w:w="1190"/>
        <w:gridCol w:w="1134"/>
        <w:gridCol w:w="850"/>
        <w:gridCol w:w="3026"/>
      </w:tblGrid>
      <w:tr>
        <w:tblPrEx>
          <w:tblCellMar>
            <w:top w:w="0" w:type="dxa"/>
            <w:left w:w="108" w:type="dxa"/>
            <w:bottom w:w="0" w:type="dxa"/>
            <w:right w:w="108" w:type="dxa"/>
          </w:tblCellMar>
        </w:tblPrEx>
        <w:trPr>
          <w:trHeight w:val="499" w:hRule="atLeast"/>
        </w:trPr>
        <w:tc>
          <w:tcPr>
            <w:tcW w:w="9420" w:type="dxa"/>
            <w:gridSpan w:val="6"/>
            <w:tcBorders>
              <w:top w:val="nil"/>
              <w:left w:val="nil"/>
              <w:bottom w:val="single" w:color="auto" w:sz="4" w:space="0"/>
              <w:right w:val="nil"/>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2018年度省级部门整体支出绩效评价得分表</w:t>
            </w:r>
          </w:p>
        </w:tc>
      </w:tr>
      <w:tr>
        <w:tblPrEx>
          <w:tblCellMar>
            <w:top w:w="0" w:type="dxa"/>
            <w:left w:w="108" w:type="dxa"/>
            <w:bottom w:w="0" w:type="dxa"/>
            <w:right w:w="108" w:type="dxa"/>
          </w:tblCellMar>
        </w:tblPrEx>
        <w:trPr>
          <w:trHeight w:val="499" w:hRule="atLeast"/>
        </w:trPr>
        <w:tc>
          <w:tcPr>
            <w:tcW w:w="44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绩效指标</w:t>
            </w:r>
          </w:p>
        </w:tc>
        <w:tc>
          <w:tcPr>
            <w:tcW w:w="113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指标分值</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得分</w:t>
            </w:r>
          </w:p>
        </w:tc>
        <w:tc>
          <w:tcPr>
            <w:tcW w:w="30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备注</w:t>
            </w:r>
          </w:p>
        </w:tc>
      </w:tr>
      <w:tr>
        <w:tblPrEx>
          <w:tblCellMar>
            <w:top w:w="0" w:type="dxa"/>
            <w:left w:w="108" w:type="dxa"/>
            <w:bottom w:w="0" w:type="dxa"/>
            <w:right w:w="108" w:type="dxa"/>
          </w:tblCellMar>
        </w:tblPrEx>
        <w:trPr>
          <w:trHeight w:val="499" w:hRule="atLeast"/>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一级指标</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二级指标</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三级指标</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b/>
                <w:bCs/>
                <w:kern w:val="0"/>
                <w:sz w:val="20"/>
                <w:szCs w:val="20"/>
              </w:rPr>
            </w:pPr>
          </w:p>
        </w:tc>
        <w:tc>
          <w:tcPr>
            <w:tcW w:w="85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b/>
                <w:bCs/>
                <w:kern w:val="0"/>
                <w:sz w:val="20"/>
                <w:szCs w:val="20"/>
              </w:rPr>
            </w:pPr>
          </w:p>
        </w:tc>
        <w:tc>
          <w:tcPr>
            <w:tcW w:w="302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b/>
                <w:bCs/>
                <w:kern w:val="0"/>
                <w:sz w:val="20"/>
                <w:szCs w:val="20"/>
              </w:rPr>
            </w:pPr>
          </w:p>
        </w:tc>
      </w:tr>
      <w:tr>
        <w:tblPrEx>
          <w:tblCellMar>
            <w:top w:w="0" w:type="dxa"/>
            <w:left w:w="108" w:type="dxa"/>
            <w:bottom w:w="0" w:type="dxa"/>
            <w:right w:w="108" w:type="dxa"/>
          </w:tblCellMar>
        </w:tblPrEx>
        <w:trPr>
          <w:trHeight w:val="499"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部门预算管理（60分）</w:t>
            </w:r>
          </w:p>
        </w:tc>
        <w:tc>
          <w:tcPr>
            <w:tcW w:w="1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预算编制（24分）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目标制定</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目标完成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编制准确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预算执行（20分）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支出控制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动态调整</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6</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执行进度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6</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完成结果（16分）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预算完成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违规记录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5</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专项预算管理（20分）</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项目决策（8分）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程序严密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3</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规划合理</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3</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结果符合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项目实施（4分）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分配科学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分配及时</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完成结果（8分）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预算完成</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3</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实施绩效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0</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sz w:val="20"/>
                <w:szCs w:val="20"/>
              </w:rPr>
            </w:pPr>
            <w:r>
              <w:rPr>
                <w:rFonts w:hint="eastAsia"/>
                <w:sz w:val="20"/>
                <w:szCs w:val="20"/>
              </w:rPr>
              <w:t>因单位无100万以上专用项目，按照预算编制要求，无需编制部门预算绩效目标。</w:t>
            </w:r>
          </w:p>
        </w:tc>
      </w:tr>
      <w:tr>
        <w:tblPrEx>
          <w:tblCellMar>
            <w:top w:w="0" w:type="dxa"/>
            <w:left w:w="108" w:type="dxa"/>
            <w:bottom w:w="0" w:type="dxa"/>
            <w:right w:w="108" w:type="dxa"/>
          </w:tblCellMar>
        </w:tblPrEx>
        <w:trPr>
          <w:trHeight w:val="499" w:hRule="atLeast"/>
        </w:trPr>
        <w:tc>
          <w:tcPr>
            <w:tcW w:w="1380" w:type="dxa"/>
            <w:vMerge w:val="continue"/>
            <w:tcBorders>
              <w:top w:val="nil"/>
              <w:left w:val="single" w:color="auto" w:sz="4" w:space="0"/>
              <w:bottom w:val="nil"/>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违规记录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绩效结果应用（20分）</w:t>
            </w:r>
          </w:p>
        </w:tc>
        <w:tc>
          <w:tcPr>
            <w:tcW w:w="1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自评质量（4分）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自评准确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4</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信息公开（8分）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目标公开</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0</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sz w:val="20"/>
                <w:szCs w:val="20"/>
              </w:rPr>
            </w:pPr>
            <w:r>
              <w:rPr>
                <w:rFonts w:hint="eastAsia"/>
                <w:sz w:val="20"/>
                <w:szCs w:val="20"/>
              </w:rPr>
              <w:t>因单位无门户网站，未将部门绩效目标向社会公开</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自评公开</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0</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sz w:val="20"/>
                <w:szCs w:val="20"/>
              </w:rPr>
            </w:pPr>
            <w:r>
              <w:rPr>
                <w:rFonts w:hint="eastAsia"/>
                <w:sz w:val="20"/>
                <w:szCs w:val="20"/>
              </w:rPr>
              <w:t>因单位无门户网站，未将部门整体绩效自评情况和自行组织的评价情况向社会公开。</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整改反馈（8分）</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结果整改</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2</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840" w:type="dxa"/>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kern w:val="0"/>
                <w:sz w:val="20"/>
                <w:szCs w:val="20"/>
              </w:rPr>
            </w:pP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应用反馈</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4</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84</w:t>
            </w:r>
          </w:p>
        </w:tc>
        <w:tc>
          <w:tcPr>
            <w:tcW w:w="30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spacing w:line="600" w:lineRule="exact"/>
        <w:outlineLvl w:val="0"/>
        <w:rPr>
          <w:rStyle w:val="15"/>
          <w:rFonts w:ascii="黑体" w:hAnsi="黑体" w:eastAsia="黑体"/>
          <w:b w:val="0"/>
        </w:rPr>
      </w:pPr>
      <w:bookmarkStart w:id="66" w:name="_Toc26186"/>
      <w:r>
        <w:rPr>
          <w:rFonts w:hint="eastAsia" w:ascii="黑体" w:hAnsi="黑体" w:eastAsia="黑体"/>
          <w:color w:val="000000"/>
          <w:sz w:val="44"/>
          <w:szCs w:val="44"/>
        </w:rPr>
        <w:t>第</w:t>
      </w:r>
      <w:r>
        <w:rPr>
          <w:rStyle w:val="15"/>
          <w:rFonts w:hint="eastAsia" w:ascii="黑体" w:hAnsi="黑体" w:eastAsia="黑体"/>
          <w:b w:val="0"/>
        </w:rPr>
        <w:t>五部分 附表</w:t>
      </w:r>
      <w:bookmarkEnd w:id="62"/>
      <w:bookmarkEnd w:id="66"/>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7" w:name="_Toc32479"/>
      <w:r>
        <w:rPr>
          <w:rFonts w:hint="eastAsia" w:ascii="仿宋" w:hAnsi="仿宋" w:eastAsia="仿宋"/>
          <w:b w:val="0"/>
          <w:color w:val="000000"/>
        </w:rPr>
        <w:t>一、收</w:t>
      </w:r>
      <w:r>
        <w:rPr>
          <w:rStyle w:val="16"/>
          <w:rFonts w:hint="eastAsia" w:ascii="仿宋" w:hAnsi="仿宋" w:eastAsia="仿宋"/>
          <w:b w:val="0"/>
          <w:bCs w:val="0"/>
        </w:rPr>
        <w:t>入支出决算总表</w:t>
      </w:r>
      <w:bookmarkEnd w:id="67"/>
    </w:p>
    <w:p>
      <w:pPr>
        <w:pStyle w:val="3"/>
        <w:rPr>
          <w:rFonts w:ascii="仿宋" w:hAnsi="仿宋" w:eastAsia="仿宋"/>
          <w:color w:val="000000"/>
        </w:rPr>
      </w:pPr>
      <w:bookmarkStart w:id="68" w:name="_Toc23310"/>
      <w:r>
        <w:rPr>
          <w:rFonts w:hint="eastAsia" w:ascii="仿宋" w:hAnsi="仿宋" w:eastAsia="仿宋"/>
          <w:b w:val="0"/>
          <w:color w:val="000000"/>
        </w:rPr>
        <w:t>二、收</w:t>
      </w:r>
      <w:r>
        <w:rPr>
          <w:rStyle w:val="16"/>
          <w:rFonts w:hint="eastAsia" w:ascii="仿宋" w:hAnsi="仿宋" w:eastAsia="仿宋"/>
          <w:b w:val="0"/>
          <w:bCs w:val="0"/>
        </w:rPr>
        <w:t>入决算表</w:t>
      </w:r>
      <w:bookmarkEnd w:id="68"/>
    </w:p>
    <w:p>
      <w:pPr>
        <w:pStyle w:val="3"/>
        <w:rPr>
          <w:rFonts w:ascii="仿宋" w:hAnsi="仿宋" w:eastAsia="仿宋"/>
          <w:color w:val="000000"/>
        </w:rPr>
      </w:pPr>
      <w:bookmarkStart w:id="69" w:name="_Toc1900"/>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出决算表</w:t>
      </w:r>
      <w:bookmarkEnd w:id="69"/>
    </w:p>
    <w:p>
      <w:pPr>
        <w:pStyle w:val="3"/>
        <w:rPr>
          <w:rFonts w:ascii="仿宋" w:hAnsi="仿宋" w:eastAsia="仿宋"/>
          <w:b w:val="0"/>
          <w:color w:val="000000"/>
        </w:rPr>
      </w:pPr>
      <w:bookmarkStart w:id="70" w:name="_Toc26501"/>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70"/>
    </w:p>
    <w:p>
      <w:pPr>
        <w:pStyle w:val="3"/>
        <w:rPr>
          <w:rFonts w:ascii="仿宋" w:hAnsi="仿宋" w:eastAsia="仿宋"/>
          <w:color w:val="000000"/>
        </w:rPr>
      </w:pPr>
      <w:bookmarkStart w:id="71" w:name="_Toc24524"/>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w:t>
      </w:r>
      <w:bookmarkEnd w:id="71"/>
    </w:p>
    <w:p>
      <w:pPr>
        <w:pStyle w:val="3"/>
        <w:rPr>
          <w:rFonts w:ascii="仿宋" w:hAnsi="仿宋" w:eastAsia="仿宋"/>
          <w:color w:val="000000"/>
        </w:rPr>
      </w:pPr>
      <w:bookmarkStart w:id="72" w:name="_Toc5294"/>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72"/>
    </w:p>
    <w:p>
      <w:pPr>
        <w:pStyle w:val="3"/>
        <w:rPr>
          <w:rFonts w:ascii="仿宋" w:hAnsi="仿宋" w:eastAsia="仿宋"/>
          <w:color w:val="000000"/>
        </w:rPr>
      </w:pPr>
      <w:bookmarkStart w:id="73" w:name="_Toc987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73"/>
    </w:p>
    <w:p>
      <w:pPr>
        <w:pStyle w:val="3"/>
        <w:rPr>
          <w:rFonts w:ascii="仿宋" w:hAnsi="仿宋" w:eastAsia="仿宋"/>
          <w:color w:val="000000"/>
        </w:rPr>
      </w:pPr>
      <w:bookmarkStart w:id="74" w:name="_Toc561"/>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74"/>
    </w:p>
    <w:p>
      <w:pPr>
        <w:pStyle w:val="3"/>
        <w:rPr>
          <w:rFonts w:ascii="仿宋" w:hAnsi="仿宋" w:eastAsia="仿宋"/>
          <w:color w:val="000000"/>
        </w:rPr>
      </w:pPr>
      <w:bookmarkStart w:id="75" w:name="_Toc4773"/>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75"/>
    </w:p>
    <w:p>
      <w:pPr>
        <w:pStyle w:val="3"/>
        <w:rPr>
          <w:rFonts w:ascii="仿宋" w:hAnsi="仿宋" w:eastAsia="仿宋"/>
          <w:color w:val="000000"/>
        </w:rPr>
      </w:pPr>
      <w:bookmarkStart w:id="76" w:name="_Toc12757"/>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76"/>
    </w:p>
    <w:p>
      <w:pPr>
        <w:pStyle w:val="3"/>
        <w:rPr>
          <w:rFonts w:ascii="仿宋" w:hAnsi="仿宋" w:eastAsia="仿宋"/>
          <w:color w:val="000000"/>
        </w:rPr>
      </w:pPr>
      <w:bookmarkStart w:id="77" w:name="_Toc2951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77"/>
    </w:p>
    <w:p>
      <w:pPr>
        <w:pStyle w:val="3"/>
        <w:rPr>
          <w:rFonts w:ascii="仿宋" w:hAnsi="仿宋" w:eastAsia="仿宋"/>
          <w:color w:val="000000"/>
        </w:rPr>
      </w:pPr>
      <w:bookmarkStart w:id="78" w:name="_Toc24498"/>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78"/>
    </w:p>
    <w:p>
      <w:pPr>
        <w:pStyle w:val="3"/>
        <w:rPr>
          <w:rFonts w:ascii="仿宋" w:hAnsi="仿宋" w:eastAsia="仿宋"/>
          <w:color w:val="000000" w:themeColor="text1"/>
        </w:rPr>
      </w:pPr>
      <w:bookmarkStart w:id="79" w:name="_Toc7752"/>
      <w:r>
        <w:rPr>
          <w:rStyle w:val="16"/>
          <w:rFonts w:hint="eastAsia" w:ascii="仿宋" w:hAnsi="仿宋" w:eastAsia="仿宋"/>
          <w:b w:val="0"/>
          <w:bCs w:val="0"/>
        </w:rPr>
        <w:t>十三、</w:t>
      </w:r>
      <w:r>
        <w:rPr>
          <w:rFonts w:hint="eastAsia" w:ascii="仿宋" w:hAnsi="仿宋" w:eastAsia="仿宋"/>
          <w:b w:val="0"/>
          <w:color w:val="000000"/>
        </w:rPr>
        <w:t>国</w:t>
      </w:r>
      <w:r>
        <w:rPr>
          <w:rStyle w:val="16"/>
          <w:rFonts w:hint="eastAsia" w:ascii="仿宋" w:hAnsi="仿宋" w:eastAsia="仿宋"/>
          <w:b w:val="0"/>
          <w:bCs w:val="0"/>
        </w:rPr>
        <w:t>有资本经营预算支出决算表</w:t>
      </w:r>
      <w:bookmarkEnd w:id="79"/>
    </w:p>
    <w:p/>
    <w:sectPr>
      <w:footerReference r:id="rId12" w:type="first"/>
      <w:footerReference r:id="rId11"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6"/>
          <w:jc w:val="center"/>
        </w:pPr>
        <w:r>
          <w:fldChar w:fldCharType="begin"/>
        </w:r>
        <w:r>
          <w:instrText xml:space="preserve">PAGE   \* MERGEFORMAT</w:instrText>
        </w:r>
        <w:r>
          <w:fldChar w:fldCharType="separate"/>
        </w:r>
        <w:r>
          <w:rPr>
            <w:lang w:val="zh-CN"/>
          </w:rPr>
          <w:t>24</w:t>
        </w:r>
        <w:r>
          <w:rPr>
            <w:lang w:val="zh-CN"/>
          </w:rPr>
          <w:fldChar w:fldCharType="end"/>
        </w:r>
      </w:p>
    </w:sdtContent>
  </w:sdt>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BF5D"/>
    <w:multiLevelType w:val="singleLevel"/>
    <w:tmpl w:val="BB4EBF5D"/>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45B7"/>
    <w:rsid w:val="00167542"/>
    <w:rsid w:val="001A2BF6"/>
    <w:rsid w:val="001C0384"/>
    <w:rsid w:val="00324CCD"/>
    <w:rsid w:val="005D4304"/>
    <w:rsid w:val="006465AD"/>
    <w:rsid w:val="006763AC"/>
    <w:rsid w:val="00680B0D"/>
    <w:rsid w:val="00752057"/>
    <w:rsid w:val="00766C1A"/>
    <w:rsid w:val="0084546D"/>
    <w:rsid w:val="0099659C"/>
    <w:rsid w:val="00AD45B7"/>
    <w:rsid w:val="00AD7D0A"/>
    <w:rsid w:val="00B03F6A"/>
    <w:rsid w:val="00C6163F"/>
    <w:rsid w:val="00D2125D"/>
    <w:rsid w:val="00D540A0"/>
    <w:rsid w:val="00DC0807"/>
    <w:rsid w:val="00DF26DF"/>
    <w:rsid w:val="00E00F82"/>
    <w:rsid w:val="00E035DD"/>
    <w:rsid w:val="00EB429B"/>
    <w:rsid w:val="00F01F22"/>
    <w:rsid w:val="00F332B5"/>
    <w:rsid w:val="00F72B4A"/>
    <w:rsid w:val="00FE6D52"/>
    <w:rsid w:val="01BC6159"/>
    <w:rsid w:val="01E82384"/>
    <w:rsid w:val="02096CE4"/>
    <w:rsid w:val="02D41A65"/>
    <w:rsid w:val="04182B37"/>
    <w:rsid w:val="04631E05"/>
    <w:rsid w:val="04965076"/>
    <w:rsid w:val="06E5069B"/>
    <w:rsid w:val="06FC3E2E"/>
    <w:rsid w:val="07F65EC1"/>
    <w:rsid w:val="098D6CAB"/>
    <w:rsid w:val="0D0B6908"/>
    <w:rsid w:val="0D8407A8"/>
    <w:rsid w:val="0E3F6E97"/>
    <w:rsid w:val="0E926348"/>
    <w:rsid w:val="101F513E"/>
    <w:rsid w:val="116A4C3B"/>
    <w:rsid w:val="12E336BA"/>
    <w:rsid w:val="12FA015C"/>
    <w:rsid w:val="139320D9"/>
    <w:rsid w:val="142E11A5"/>
    <w:rsid w:val="15454AE3"/>
    <w:rsid w:val="164B0253"/>
    <w:rsid w:val="169560B3"/>
    <w:rsid w:val="17D43BDF"/>
    <w:rsid w:val="189C6AFD"/>
    <w:rsid w:val="19675BD1"/>
    <w:rsid w:val="1C316823"/>
    <w:rsid w:val="1C6F3F65"/>
    <w:rsid w:val="1D5C6FCA"/>
    <w:rsid w:val="1F68439C"/>
    <w:rsid w:val="20417606"/>
    <w:rsid w:val="20812118"/>
    <w:rsid w:val="208D0053"/>
    <w:rsid w:val="20AD0645"/>
    <w:rsid w:val="21BD5A41"/>
    <w:rsid w:val="22290867"/>
    <w:rsid w:val="254D4763"/>
    <w:rsid w:val="25B03A00"/>
    <w:rsid w:val="260C325E"/>
    <w:rsid w:val="27D26F4F"/>
    <w:rsid w:val="27F232E8"/>
    <w:rsid w:val="293C1847"/>
    <w:rsid w:val="2A081F98"/>
    <w:rsid w:val="2A981150"/>
    <w:rsid w:val="2C704387"/>
    <w:rsid w:val="2CB83374"/>
    <w:rsid w:val="2D321BF4"/>
    <w:rsid w:val="2D9D1964"/>
    <w:rsid w:val="2E9B3973"/>
    <w:rsid w:val="2F520C0B"/>
    <w:rsid w:val="303D0B54"/>
    <w:rsid w:val="30BC74DC"/>
    <w:rsid w:val="335B1C1F"/>
    <w:rsid w:val="34351FBF"/>
    <w:rsid w:val="34384329"/>
    <w:rsid w:val="35112133"/>
    <w:rsid w:val="3B5C62F3"/>
    <w:rsid w:val="3B9349B4"/>
    <w:rsid w:val="3BC37252"/>
    <w:rsid w:val="3BF92133"/>
    <w:rsid w:val="3CA94DC5"/>
    <w:rsid w:val="3D007F30"/>
    <w:rsid w:val="3D8D627A"/>
    <w:rsid w:val="3E2D1B51"/>
    <w:rsid w:val="3F5424B4"/>
    <w:rsid w:val="41D3635D"/>
    <w:rsid w:val="425A7128"/>
    <w:rsid w:val="42771996"/>
    <w:rsid w:val="43535765"/>
    <w:rsid w:val="44065552"/>
    <w:rsid w:val="456C6A0B"/>
    <w:rsid w:val="464F0A9A"/>
    <w:rsid w:val="466A20B0"/>
    <w:rsid w:val="46766A7C"/>
    <w:rsid w:val="46B25685"/>
    <w:rsid w:val="4745697C"/>
    <w:rsid w:val="4889088C"/>
    <w:rsid w:val="497F1735"/>
    <w:rsid w:val="4CBC1A43"/>
    <w:rsid w:val="4CC1153F"/>
    <w:rsid w:val="4CC2252F"/>
    <w:rsid w:val="4E42564C"/>
    <w:rsid w:val="4F100792"/>
    <w:rsid w:val="4FEE246F"/>
    <w:rsid w:val="50AB28BF"/>
    <w:rsid w:val="51C25950"/>
    <w:rsid w:val="521D0AE7"/>
    <w:rsid w:val="52747C6E"/>
    <w:rsid w:val="54255A81"/>
    <w:rsid w:val="544C2F4D"/>
    <w:rsid w:val="56561DA7"/>
    <w:rsid w:val="58A326C0"/>
    <w:rsid w:val="58E3772B"/>
    <w:rsid w:val="59CB656A"/>
    <w:rsid w:val="59F01295"/>
    <w:rsid w:val="5A1D7E38"/>
    <w:rsid w:val="5BB56756"/>
    <w:rsid w:val="5CFC07CD"/>
    <w:rsid w:val="5E8B5841"/>
    <w:rsid w:val="60D30933"/>
    <w:rsid w:val="60DC73A5"/>
    <w:rsid w:val="61567B4B"/>
    <w:rsid w:val="62325827"/>
    <w:rsid w:val="637132BD"/>
    <w:rsid w:val="64A459D0"/>
    <w:rsid w:val="65C77F5C"/>
    <w:rsid w:val="66A91195"/>
    <w:rsid w:val="67AF5FA2"/>
    <w:rsid w:val="69B836BE"/>
    <w:rsid w:val="69DF5A72"/>
    <w:rsid w:val="6B670F07"/>
    <w:rsid w:val="6BE20D83"/>
    <w:rsid w:val="6C8E3F87"/>
    <w:rsid w:val="6DD556D5"/>
    <w:rsid w:val="6EE634E7"/>
    <w:rsid w:val="711F4669"/>
    <w:rsid w:val="72202AB0"/>
    <w:rsid w:val="72E52F23"/>
    <w:rsid w:val="72E7730A"/>
    <w:rsid w:val="74BD73E6"/>
    <w:rsid w:val="74CA47D3"/>
    <w:rsid w:val="7621680D"/>
    <w:rsid w:val="7663799B"/>
    <w:rsid w:val="77804C6F"/>
    <w:rsid w:val="78274AC9"/>
    <w:rsid w:val="7A8444B7"/>
    <w:rsid w:val="7ACF663B"/>
    <w:rsid w:val="7B496591"/>
    <w:rsid w:val="7BF73825"/>
    <w:rsid w:val="7C8C16C9"/>
    <w:rsid w:val="7CD32DEF"/>
    <w:rsid w:val="7DDD6D39"/>
    <w:rsid w:val="7EA076E5"/>
    <w:rsid w:val="7F1438E1"/>
    <w:rsid w:val="7F4852EA"/>
    <w:rsid w:val="7FAD5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Balloon Text"/>
    <w:basedOn w:val="1"/>
    <w:link w:val="20"/>
    <w:qFormat/>
    <w:uiPriority w:val="0"/>
    <w:rPr>
      <w:sz w:val="18"/>
      <w:szCs w:val="18"/>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page number"/>
    <w:basedOn w:val="11"/>
    <w:qFormat/>
    <w:uiPriority w:val="0"/>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b/>
      <w:bCs/>
      <w:kern w:val="44"/>
      <w:sz w:val="44"/>
      <w:szCs w:val="44"/>
    </w:rPr>
  </w:style>
  <w:style w:type="character" w:customStyle="1" w:styleId="16">
    <w:name w:val="标题 2 Char"/>
    <w:basedOn w:val="11"/>
    <w:link w:val="3"/>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四号正文"/>
    <w:basedOn w:val="1"/>
    <w:qFormat/>
    <w:uiPriority w:val="0"/>
    <w:pPr>
      <w:spacing w:line="360" w:lineRule="auto"/>
    </w:pPr>
    <w:rPr>
      <w:rFonts w:ascii="??" w:hAnsi="??" w:cs="宋体"/>
      <w:color w:val="000000"/>
      <w:kern w:val="0"/>
      <w:sz w:val="28"/>
      <w:szCs w:val="21"/>
    </w:rPr>
  </w:style>
  <w:style w:type="character" w:customStyle="1" w:styleId="20">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6.xml"/><Relationship Id="rId25" Type="http://schemas.openxmlformats.org/officeDocument/2006/relationships/chart" Target="charts/chart5.xml"/><Relationship Id="rId24" Type="http://schemas.openxmlformats.org/officeDocument/2006/relationships/chart" Target="charts/chart4.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oleObject" Target="embeddings/Workbook5.xls"/><Relationship Id="rId20" Type="http://schemas.openxmlformats.org/officeDocument/2006/relationships/oleObject" Target="embeddings/Workbook4.xls"/><Relationship Id="rId2" Type="http://schemas.openxmlformats.org/officeDocument/2006/relationships/settings" Target="settings.xml"/><Relationship Id="rId19" Type="http://schemas.openxmlformats.org/officeDocument/2006/relationships/oleObject" Target="embeddings/Workbook3.xls"/><Relationship Id="rId18" Type="http://schemas.openxmlformats.org/officeDocument/2006/relationships/image" Target="media/image2.emf"/><Relationship Id="rId17" Type="http://schemas.openxmlformats.org/officeDocument/2006/relationships/oleObject" Target="embeddings/Workbook2.xls"/><Relationship Id="rId16" Type="http://schemas.openxmlformats.org/officeDocument/2006/relationships/chart" Target="charts/chart1.xml"/><Relationship Id="rId15" Type="http://schemas.openxmlformats.org/officeDocument/2006/relationships/image" Target="media/image1.emf"/><Relationship Id="rId14" Type="http://schemas.openxmlformats.org/officeDocument/2006/relationships/oleObject" Target="embeddings/Workbook1.xls"/><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solidFill>
                  <a:schemeClr val="tx1">
                    <a:lumMod val="65000"/>
                    <a:lumOff val="35000"/>
                  </a:schemeClr>
                </a:solidFill>
                <a:uFillTx/>
              </a:rPr>
              <a:t>金额</a:t>
            </a:r>
            <a:endParaRPr sz="1000">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经营收入</c:v>
                </c:pt>
              </c:strCache>
            </c:strRef>
          </c:cat>
          <c:val>
            <c:numRef>
              <c:f>Sheet1!$B$2:$B$3</c:f>
              <c:numCache>
                <c:formatCode>General</c:formatCode>
                <c:ptCount val="2"/>
                <c:pt idx="0">
                  <c:v>2497.58</c:v>
                </c:pt>
                <c:pt idx="1">
                  <c:v>255.24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340231197374055"/>
          <c:y val="0.908610567514678"/>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solidFill>
                  <a:schemeClr val="tx1">
                    <a:lumMod val="65000"/>
                    <a:lumOff val="35000"/>
                  </a:schemeClr>
                </a:solidFill>
                <a:uFillTx/>
              </a:rPr>
              <a:t>金额</a:t>
            </a:r>
            <a:endParaRPr sz="1000">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2388.58</c:v>
                </c:pt>
                <c:pt idx="1">
                  <c:v>109</c:v>
                </c:pt>
                <c:pt idx="2">
                  <c:v>639.22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258896797153025"/>
          <c:y val="0.863290537327628"/>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9621785173979"/>
          <c:y val="0.0975985642225825"/>
          <c:w val="0.892889561270802"/>
          <c:h val="0.7026735218509"/>
        </c:manualLayout>
      </c:layout>
      <c:barChart>
        <c:barDir val="col"/>
        <c:grouping val="clustered"/>
        <c:varyColors val="0"/>
        <c:ser>
          <c:idx val="0"/>
          <c:order val="0"/>
          <c:tx>
            <c:strRef>
              <c:f>Sheet1!$B$1</c:f>
              <c:strCache>
                <c:ptCount val="1"/>
                <c:pt idx="0">
                  <c:v>2017</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2639.5</c:v>
                </c:pt>
                <c:pt idx="1">
                  <c:v>2639.5</c:v>
                </c:pt>
              </c:numCache>
            </c:numRef>
          </c:val>
        </c:ser>
        <c:ser>
          <c:idx val="1"/>
          <c:order val="1"/>
          <c:tx>
            <c:strRef>
              <c:f>Sheet1!$C$1</c:f>
              <c:strCache>
                <c:ptCount val="1"/>
                <c:pt idx="0">
                  <c:v>2018</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2497.58</c:v>
                </c:pt>
                <c:pt idx="1">
                  <c:v>2497.58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10195840"/>
        <c:axId val="110197760"/>
      </c:barChart>
      <c:catAx>
        <c:axId val="1101958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197760"/>
        <c:crosses val="autoZero"/>
        <c:auto val="1"/>
        <c:lblAlgn val="ctr"/>
        <c:lblOffset val="100"/>
        <c:noMultiLvlLbl val="0"/>
      </c:catAx>
      <c:valAx>
        <c:axId val="1101977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195840"/>
        <c:crosses val="autoZero"/>
        <c:crossBetween val="between"/>
      </c:valAx>
      <c:spPr>
        <a:noFill/>
        <a:ln>
          <a:noFill/>
        </a:ln>
        <a:effectLst/>
      </c:spPr>
    </c:plotArea>
    <c:legend>
      <c:legendPos val="b"/>
      <c:legendEntry>
        <c:idx val="2"/>
        <c:delete val="1"/>
      </c:legendEntry>
      <c:layout>
        <c:manualLayout>
          <c:xMode val="edge"/>
          <c:yMode val="edge"/>
          <c:x val="0.336863338376198"/>
          <c:y val="0.861561960062997"/>
          <c:w val="0.24256177508825"/>
          <c:h val="0.1307259576747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825"/>
          <c:y val="0.10464807436919"/>
          <c:w val="0.8938"/>
          <c:h val="0.692802124833997"/>
        </c:manualLayout>
      </c:layout>
      <c:barChart>
        <c:barDir val="col"/>
        <c:grouping val="clustered"/>
        <c:varyColors val="0"/>
        <c:ser>
          <c:idx val="0"/>
          <c:order val="0"/>
          <c:tx>
            <c:strRef>
              <c:f>Sheet1!$B$1</c:f>
              <c:strCache>
                <c:ptCount val="1"/>
                <c:pt idx="0">
                  <c:v>2017</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一般公共预算财政款拨款支出</c:v>
                </c:pt>
              </c:strCache>
            </c:strRef>
          </c:cat>
          <c:val>
            <c:numRef>
              <c:f>Sheet1!$B$2</c:f>
              <c:numCache>
                <c:formatCode>General</c:formatCode>
                <c:ptCount val="1"/>
                <c:pt idx="0">
                  <c:v>2639.5</c:v>
                </c:pt>
              </c:numCache>
            </c:numRef>
          </c:val>
        </c:ser>
        <c:ser>
          <c:idx val="1"/>
          <c:order val="1"/>
          <c:tx>
            <c:strRef>
              <c:f>Sheet1!$C$1</c:f>
              <c:strCache>
                <c:ptCount val="1"/>
                <c:pt idx="0">
                  <c:v>2018</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一般公共预算财政款拨款支出</c:v>
                </c:pt>
              </c:strCache>
            </c:strRef>
          </c:cat>
          <c:val>
            <c:numRef>
              <c:f>Sheet1!$C$2</c:f>
              <c:numCache>
                <c:formatCode>General</c:formatCode>
                <c:ptCount val="1"/>
                <c:pt idx="0">
                  <c:v>2497.58</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一般公共预算财政款拨款支出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32558208"/>
        <c:axId val="132617344"/>
      </c:barChart>
      <c:catAx>
        <c:axId val="1325582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32617344"/>
        <c:crosses val="autoZero"/>
        <c:auto val="1"/>
        <c:lblAlgn val="ctr"/>
        <c:lblOffset val="100"/>
        <c:noMultiLvlLbl val="0"/>
      </c:catAx>
      <c:valAx>
        <c:axId val="1326173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55820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delete val="1"/>
      </c:legendEntry>
      <c:layout>
        <c:manualLayout>
          <c:xMode val="edge"/>
          <c:yMode val="edge"/>
          <c:x val="0.412625"/>
          <c:y val="0.896321070234115"/>
        </c:manualLayout>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733306386739718"/>
                  <c:y val="0.08009608082497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教育支出类</c:v>
                </c:pt>
                <c:pt idx="1">
                  <c:v>社会保障和就业支出</c:v>
                </c:pt>
                <c:pt idx="2">
                  <c:v>医疗卫生支出</c:v>
                </c:pt>
                <c:pt idx="3">
                  <c:v>住房保障支出</c:v>
                </c:pt>
                <c:pt idx="4">
                  <c:v>资源勘探信息支出</c:v>
                </c:pt>
              </c:strCache>
            </c:strRef>
          </c:cat>
          <c:val>
            <c:numRef>
              <c:f>Sheet1!$B$2:$B$6</c:f>
              <c:numCache>
                <c:formatCode>General</c:formatCode>
                <c:ptCount val="5"/>
                <c:pt idx="0">
                  <c:v>15</c:v>
                </c:pt>
                <c:pt idx="1">
                  <c:v>739.58</c:v>
                </c:pt>
                <c:pt idx="2">
                  <c:v>70</c:v>
                </c:pt>
                <c:pt idx="3">
                  <c:v>130</c:v>
                </c:pt>
                <c:pt idx="4">
                  <c:v>1543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4"/>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公务接待费</c:v>
                </c:pt>
                <c:pt idx="1">
                  <c:v>公务用车运行维护费</c:v>
                </c:pt>
              </c:strCache>
            </c:strRef>
          </c:cat>
          <c:val>
            <c:numRef>
              <c:f>Sheet1!$B$2:$B$3</c:f>
              <c:numCache>
                <c:formatCode>General</c:formatCode>
                <c:ptCount val="2"/>
                <c:pt idx="0">
                  <c:v>8</c:v>
                </c:pt>
                <c:pt idx="1">
                  <c:v>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7"/>
    <customShpInfo spid="_x0000_s1030"/>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E7D91-873E-434E-A301-61E52F5727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1760</Words>
  <Characters>10037</Characters>
  <Lines>83</Lines>
  <Paragraphs>23</Paragraphs>
  <TotalTime>2</TotalTime>
  <ScaleCrop>false</ScaleCrop>
  <LinksUpToDate>false</LinksUpToDate>
  <CharactersWithSpaces>11774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~冰冰~</cp:lastModifiedBy>
  <cp:lastPrinted>2019-08-26T00:59:00Z</cp:lastPrinted>
  <dcterms:modified xsi:type="dcterms:W3CDTF">2021-06-15T02:19:10Z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0565961E1CB74C0D88D9F063DED9331F</vt:lpwstr>
  </property>
</Properties>
</file>