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tabs>
          <w:tab w:val="left" w:pos="1256"/>
        </w:tabs>
        <w:spacing w:line="580" w:lineRule="exact"/>
        <w:ind w:left="0" w:leftChars="0" w:firstLine="0" w:firstLineChars="0"/>
        <w:jc w:val="center"/>
        <w:rPr>
          <w:rFonts w:hint="default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农业保险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特色资金分配公式</w:t>
      </w:r>
    </w:p>
    <w:p>
      <w:pPr>
        <w:pStyle w:val="2"/>
        <w:tabs>
          <w:tab w:val="left" w:pos="1256"/>
        </w:tabs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tabs>
          <w:tab w:val="left" w:pos="1256"/>
        </w:tabs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假设中央和省级地方优势特色农产品保险奖补资金为A，该</w:t>
      </w:r>
      <w:r>
        <w:rPr>
          <w:rFonts w:hint="eastAsia" w:ascii="仿宋_GB2312" w:hAnsi="Times New Roman" w:eastAsia="仿宋_GB2312" w:cs="仿宋_GB2312"/>
          <w:sz w:val="32"/>
          <w:szCs w:val="32"/>
        </w:rPr>
        <w:t>市（州）、扩权县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综合绩效评价得分属于第n档，则该</w:t>
      </w:r>
      <w:r>
        <w:rPr>
          <w:rFonts w:hint="eastAsia" w:ascii="仿宋_GB2312" w:hAnsi="Times New Roman" w:eastAsia="仿宋_GB2312" w:cs="仿宋_GB2312"/>
          <w:sz w:val="32"/>
          <w:szCs w:val="32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当年所获地方优势特色农产品保险奖补资金M可表示为：</w:t>
      </w:r>
    </w:p>
    <w:p>
      <w:pPr>
        <w:tabs>
          <w:tab w:val="left" w:pos="1256"/>
        </w:tabs>
        <w:spacing w:line="580" w:lineRule="exact"/>
        <w:ind w:firstLine="6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①当n＝1时，M＝A×80%×</w:t>
      </w:r>
      <w:r>
        <w:rPr>
          <w:rFonts w:ascii="Cambria Math" w:hAnsi="Cambria Math" w:eastAsia="仿宋_GB2312" w:cs="Cambria Math"/>
          <w:sz w:val="32"/>
          <w:szCs w:val="32"/>
        </w:rPr>
        <w:t>θ</w:t>
      </w:r>
      <w:r>
        <w:rPr>
          <w:rFonts w:hint="eastAsia" w:ascii="Times New Roman" w:hAnsi="Times New Roman" w:eastAsia="仿宋_GB2312" w:cs="仿宋_GB2312"/>
          <w:sz w:val="32"/>
          <w:szCs w:val="32"/>
        </w:rPr>
        <w:t>%＋A×20%×50%÷20；</w:t>
      </w:r>
    </w:p>
    <w:p>
      <w:pPr>
        <w:tabs>
          <w:tab w:val="left" w:pos="1256"/>
        </w:tabs>
        <w:spacing w:line="580" w:lineRule="exact"/>
        <w:ind w:firstLine="6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②当n＝2时，M＝A×80%×</w:t>
      </w:r>
      <w:r>
        <w:rPr>
          <w:rFonts w:ascii="Cambria Math" w:hAnsi="Cambria Math" w:eastAsia="仿宋_GB2312" w:cs="Cambria Math"/>
          <w:sz w:val="32"/>
          <w:szCs w:val="32"/>
        </w:rPr>
        <w:t>θ</w:t>
      </w:r>
      <w:r>
        <w:rPr>
          <w:rFonts w:hint="eastAsia" w:ascii="Times New Roman" w:hAnsi="Times New Roman" w:eastAsia="仿宋_GB2312" w:cs="仿宋_GB2312"/>
          <w:sz w:val="32"/>
          <w:szCs w:val="32"/>
        </w:rPr>
        <w:t>%＋A×20%×35%÷40；</w:t>
      </w:r>
    </w:p>
    <w:p>
      <w:pPr>
        <w:tabs>
          <w:tab w:val="left" w:pos="1256"/>
        </w:tabs>
        <w:spacing w:line="580" w:lineRule="exact"/>
        <w:ind w:firstLine="6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③当n＝3时，M＝A×80%×</w:t>
      </w:r>
      <w:r>
        <w:rPr>
          <w:rFonts w:ascii="Cambria Math" w:hAnsi="Cambria Math" w:eastAsia="仿宋_GB2312" w:cs="Cambria Math"/>
          <w:sz w:val="32"/>
          <w:szCs w:val="32"/>
        </w:rPr>
        <w:t>θ</w:t>
      </w:r>
      <w:r>
        <w:rPr>
          <w:rFonts w:hint="eastAsia" w:ascii="Times New Roman" w:hAnsi="Times New Roman" w:eastAsia="仿宋_GB2312" w:cs="仿宋_GB2312"/>
          <w:sz w:val="32"/>
          <w:szCs w:val="32"/>
        </w:rPr>
        <w:t>%＋A×20%×15%÷b。</w:t>
      </w:r>
    </w:p>
    <w:p>
      <w:pPr>
        <w:pStyle w:val="2"/>
        <w:ind w:left="0" w:leftChars="0"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）在综合绩效评价结果整体权重下，按照综合绩效评价得分由高到低的顺序，将各</w:t>
      </w:r>
      <w:r>
        <w:rPr>
          <w:rFonts w:hint="eastAsia" w:ascii="仿宋_GB2312" w:hAnsi="Times New Roman" w:eastAsia="仿宋_GB2312" w:cs="仿宋_GB2312"/>
          <w:sz w:val="32"/>
          <w:szCs w:val="32"/>
        </w:rPr>
        <w:t>市（州）、扩权县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划分为3档，第一档20个</w:t>
      </w:r>
      <w:r>
        <w:rPr>
          <w:rFonts w:hint="eastAsia" w:ascii="仿宋_GB2312" w:hAnsi="Times New Roman" w:eastAsia="仿宋_GB2312" w:cs="仿宋_GB2312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第二档40个</w:t>
      </w:r>
      <w:r>
        <w:rPr>
          <w:rFonts w:hint="eastAsia" w:ascii="仿宋_GB2312" w:hAnsi="Times New Roman" w:eastAsia="仿宋_GB2312" w:cs="仿宋_GB2312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其余归为第三档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个数表示为b。第一、二、三档分别分配综合绩效评价结果整体奖补资金总额的50%、35%、15%，每一档内平均分配；</w:t>
      </w:r>
    </w:p>
    <w:p>
      <w:pPr>
        <w:numPr>
          <w:ilvl w:val="-1"/>
          <w:numId w:val="0"/>
        </w:numPr>
        <w:spacing w:line="240" w:lineRule="auto"/>
        <w:ind w:left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假设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上一年度各</w:t>
      </w:r>
      <w:r>
        <w:rPr>
          <w:rFonts w:hint="eastAsia" w:ascii="仿宋_GB2312" w:hAnsi="Times New Roman" w:eastAsia="仿宋_GB2312" w:cs="仿宋_GB2312"/>
          <w:sz w:val="32"/>
          <w:szCs w:val="32"/>
        </w:rPr>
        <w:t>市（州）、扩权县</w:t>
      </w:r>
      <w:r>
        <w:rPr>
          <w:rFonts w:hint="eastAsia" w:ascii="Times New Roman" w:hAnsi="Times New Roman" w:eastAsia="仿宋_GB2312" w:cs="仿宋_GB2312"/>
          <w:sz w:val="32"/>
          <w:szCs w:val="32"/>
        </w:rPr>
        <w:t>特色保险保费规模为</w:t>
      </w:r>
      <w:r>
        <w:rPr>
          <w:rFonts w:ascii="Cambria Math" w:hAnsi="Cambria Math" w:eastAsia="仿宋_GB2312" w:cs="Cambria Math"/>
          <w:sz w:val="32"/>
          <w:szCs w:val="32"/>
        </w:rPr>
        <w:t>a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规模调节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系数为q：成都市为0.5；脱贫县为1.5；其他地区为1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对上一年度地方特色保费规模下降超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过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20%的市县，财政厅将降低该地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规模调节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系数0.1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则全</w:t>
      </w:r>
      <w:r>
        <w:rPr>
          <w:rFonts w:hint="eastAsia" w:ascii="Times New Roman" w:hAnsi="Times New Roman" w:eastAsia="仿宋_GB2312" w:cs="仿宋_GB2312"/>
          <w:sz w:val="32"/>
          <w:szCs w:val="32"/>
        </w:rPr>
        <w:t>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规模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系数加权占比</w:t>
      </w:r>
      <w:r>
        <w:rPr>
          <w:rFonts w:ascii="Cambria Math" w:hAnsi="Cambria Math" w:eastAsia="仿宋_GB2312" w:cs="Cambria Math"/>
          <w:sz w:val="32"/>
          <w:szCs w:val="32"/>
        </w:rPr>
        <w:t>θ</w:t>
      </w:r>
      <w:r>
        <w:rPr>
          <w:rFonts w:hint="eastAsia" w:ascii="Times New Roman" w:hAnsi="Times New Roman" w:eastAsia="仿宋_GB2312" w:cs="仿宋_GB2312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的公式为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jc w:val="both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m:oMathPara>
        <m:oMath>
          <m:r>
            <m:rPr/>
            <w:rPr>
              <w:rFonts w:ascii="Cambria Math" w:hAnsi="Cambria Math"/>
              <w:sz w:val="28"/>
              <w:szCs w:val="36"/>
            </w:rPr>
            <m:t>θ%=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36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36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8"/>
                      <w:szCs w:val="36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8"/>
                      <w:szCs w:val="36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8"/>
                      <w:szCs w:val="36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 w:val="28"/>
                  <w:szCs w:val="36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36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36"/>
                    </w:rPr>
                    <m:t>q</m:t>
                  </m:r>
                  <m:ctrlPr>
                    <w:rPr>
                      <w:rFonts w:ascii="Cambria Math" w:hAnsi="Cambria Math"/>
                      <w:i/>
                      <w:sz w:val="28"/>
                      <w:szCs w:val="36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8"/>
                      <w:szCs w:val="36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8"/>
                      <w:szCs w:val="36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8"/>
                  <w:szCs w:val="36"/>
                </w:rPr>
              </m:ctrlP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36"/>
                    </w:rPr>
                  </m:ctrlPr>
                </m:naryPr>
                <m:sub>
                  <m:r>
                    <m:rPr/>
                    <w:rPr>
                      <w:rFonts w:ascii="Cambria Math" w:hAnsi="Cambria Math"/>
                      <w:sz w:val="28"/>
                      <w:szCs w:val="36"/>
                    </w:rPr>
                    <m:t>i=1</m:t>
                  </m:r>
                  <m:ctrlPr>
                    <w:rPr>
                      <w:rFonts w:ascii="Cambria Math" w:hAnsi="Cambria Math"/>
                      <w:i/>
                      <w:sz w:val="28"/>
                      <w:szCs w:val="36"/>
                    </w:rPr>
                  </m:ctrlPr>
                </m:sub>
                <m:sup>
                  <m:r>
                    <m:rPr/>
                    <w:rPr>
                      <w:rFonts w:ascii="Cambria Math" w:hAnsi="Cambria Math"/>
                      <w:sz w:val="28"/>
                      <w:szCs w:val="36"/>
                    </w:rPr>
                    <m:t>m</m:t>
                  </m:r>
                  <m:ctrlPr>
                    <w:rPr>
                      <w:rFonts w:ascii="Cambria Math" w:hAnsi="Cambria Math"/>
                      <w:i/>
                      <w:sz w:val="28"/>
                      <w:szCs w:val="36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36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8"/>
                          <w:szCs w:val="36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36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28"/>
                          <w:szCs w:val="36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36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/>
                      <w:sz w:val="28"/>
                      <w:szCs w:val="36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36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8"/>
                          <w:szCs w:val="36"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36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28"/>
                          <w:szCs w:val="36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36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z w:val="28"/>
                      <w:szCs w:val="36"/>
                    </w:rPr>
                  </m:ctrlPr>
                </m:e>
              </m:nary>
              <m:ctrlPr>
                <w:rPr>
                  <w:rFonts w:ascii="Cambria Math" w:hAnsi="Cambria Math"/>
                  <w:i/>
                  <w:sz w:val="28"/>
                  <w:szCs w:val="36"/>
                </w:rPr>
              </m:ctrlPr>
            </m:den>
          </m:f>
        </m:oMath>
      </m:oMathPara>
    </w:p>
    <w:p>
      <w:pPr>
        <w:spacing w:line="240" w:lineRule="auto"/>
        <w:ind w:firstLine="0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（此处m为全省各市（州）、扩权县个数）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E12ED"/>
    <w:rsid w:val="00300324"/>
    <w:rsid w:val="0EFE12ED"/>
    <w:rsid w:val="275B097E"/>
    <w:rsid w:val="2F151134"/>
    <w:rsid w:val="2F6C2644"/>
    <w:rsid w:val="32A7195B"/>
    <w:rsid w:val="49C564D0"/>
    <w:rsid w:val="523C7BFA"/>
    <w:rsid w:val="584F7380"/>
    <w:rsid w:val="5DAF6D4D"/>
    <w:rsid w:val="6F8F5BFC"/>
    <w:rsid w:val="7B966735"/>
    <w:rsid w:val="7F0A5F66"/>
    <w:rsid w:val="FD3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2022-09-26T09:44:00Z</dcterms:created>
  <dc:creator>YangBin</dc:creator>
  <cp:lastModifiedBy>user</cp:lastModifiedBy>
  <dcterms:modified xsi:type="dcterms:W3CDTF">2022-10-09T12:35:54Z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